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A/1114/2021 vom 15. Juni 2021</w:t>
      </w:r>
    </w:p>
    <w:p>
      <w:r>
        <w:t>GE Cour de justice, 2021-06-15, FR</w:t>
      </w:r>
    </w:p>
    <w:p>
      <w:r>
        <w:rPr>
          <w:b/>
        </w:rPr>
        <w:t xml:space="preserve">Quelle: </w:t>
      </w:r>
      <w:r>
        <w:t>https://mcp.opencaselaw.ch/entscheid/ge_gerichte_A_1114_2021</w:t>
      </w:r>
    </w:p>
    <w:p>
      <w:r>
        <w:t>FR: GE_GERICHTE A/1114/2021 du 15 juin 2021</w:t>
      </w:r>
    </w:p>
    <w:p>
      <w:r>
        <w:t>IT: GE_GERICHTE A/1114/2021 del 15 giugno 2021</w:t>
      </w:r>
    </w:p>
    <w:p>
      <w:pPr>
        <w:pStyle w:val="Heading2"/>
      </w:pPr>
      <w:r>
        <w:t>Erwägungen</w:t>
      </w:r>
    </w:p>
    <w:p>
      <w:r>
        <w:rPr>
          <w:b/>
        </w:rPr>
        <w:t>E. 4</w:t>
      </w:r>
    </w:p>
    <w:p>
      <w:r>
        <w:t>Le litige porte sur le droit de la recourante à une rente d’invalidité de plus d’une demi-rente dès le 1 er août 2017, et préalablement, sur son droit à une instruction complémentaire sous la forme d’une expertise psychiatrique et rhumatologique.![endif]&gt;![if&gt;</w:t>
      </w:r>
    </w:p>
    <w:p>
      <w:r>
        <w:rPr>
          <w:b/>
        </w:rPr>
        <w:t>E. 5</w:t>
      </w:r>
    </w:p>
    <w:p>
      <w:r>
        <w:t>![endif]&gt;![if&gt;</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5.2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moins.![endif]&gt;![if&gt;</w:t>
      </w:r>
    </w:p>
    <w:p>
      <w:r>
        <w:rPr>
          <w:b/>
        </w:rPr>
        <w:t>E. 5.3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w:t>
      </w:r>
    </w:p>
    <w:p>
      <w:r>
        <w:rPr>
          <w:b/>
        </w:rPr>
        <w:t>E. 5.4</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![endif]&gt;![if&gt;</w:t>
      </w:r>
    </w:p>
    <w:p>
      <w:r>
        <w:rPr>
          <w:b/>
        </w:rPr>
        <w:t>E. 5.5</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w:t>
      </w:r>
    </w:p>
    <w:p>
      <w:r>
        <w:rPr>
          <w:b/>
        </w:rPr>
        <w:t>E. 5.6</w:t>
      </w:r>
    </w:p>
    <w:p>
      <w:r>
        <w:t>![endif]&gt;![if&gt;</w:t>
      </w:r>
    </w:p>
    <w:p>
      <w:r>
        <w:rPr>
          <w:b/>
        </w:rPr>
        <w:t>E. 5.6.1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5.6.2</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:![endif]&gt;![if&gt;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5.6.3</w:t>
      </w:r>
    </w:p>
    <w:p>
      <w:r>
        <w:t>Le juge vérifie librement si l’expert médical a exclusivement tenu compte des déficits fonctionnels résultant de l’atteinte à la santé et si son évaluation de l’exigibilité repose sur une base objective.![endif]&gt;![if&gt;</w:t>
      </w:r>
    </w:p>
    <w:p>
      <w:r>
        <w:rPr>
          <w:b/>
        </w:rPr>
        <w:t>E. 5.6.4</w:t>
      </w:r>
    </w:p>
    <w:p>
      <w:r>
        <w:t>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![endif]&gt;![if&gt;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5.7</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Il faut examiner en premier lieu la nécessité de faire procéder à une nouvelle expertise. ![endif]&gt;![if&gt;</w:t>
      </w:r>
    </w:p>
    <w:p>
      <w:r>
        <w:rPr>
          <w:b/>
        </w:rPr>
        <w:t>E. 6.1</w:t>
      </w:r>
    </w:p>
    <w:p>
      <w:r>
        <w:t>![endif]&gt;![if&gt;</w:t>
      </w:r>
    </w:p>
    <w:p>
      <w:r>
        <w:rPr>
          <w:b/>
        </w:rPr>
        <w:t>E. 6.1.1</w:t>
      </w:r>
    </w:p>
    <w:p>
      <w:r>
        <w:t>La recourante a fait valoir que l’expert E______ avait évoqué deux diagnostics possibles, soit un trouble douloureux somatoforme persistant, avec indice de gravité jurisprudentielle partiellement rempli actuellement, ou des facteurs psychologiques ou comportementaux associés à des troubles ou des maladies classées par ailleurs avec indice de gravité jurisprudentielle partiellement rempli actuellement. Or, il apparaissait que les douleurs persistantes résultaient bien d’une pathologie avérée, soit le SEDh. Cela avait été confirmé lors de l’examen du Dr H______ le 11 septembre 2020. Ainsi, ce fait aurait pu avoir une conséquence sur l’appréciation du diagnostic, dans la mesure où les symptômes de la maladie étaient multiformes et qu’ils avaient bien une explication objective. Pour ce motif, l’appréciation de l’expert était erronée. ![endif]&gt;![if&gt; La recourante a également fait valoir que son état psychique s’était aggravé à la fin de l’année 2020, soit après l’expertise du Dr E______ et avant la décision du 22 février 2021. L’examen rhumatologique réalisé par le SMR ne pouvait pas non plus être suivi. En effet, le Dr G______ avait relevé que selon la Dresse F______, l’assurée présentait un SEDh selon les critères français, qui ne répondaient pas aux critères diagnostics internationaux de 2007. Or, dans son rapport du 11 septembre 2020, le Dr H______ avait procédé à un examen selon les critères préconisés par le Dr G______ et conclu que le SEDh était bien présent. Malheureusement, cet élément n’avait pas été soumis au Dr G______ et le rapport du SMR du 6 octobre 2020 ne se prononçait pas non plus sur ce document. Pour ce motif, l’examen rhumatologique était incomplet et ne pouvait être suivi. Les répercussions sur la capacité de travail et les limitations fonctionnelles étaient bien évidemment plus importantes en présence d’une pathologie avérée. La discordance entre le Dr H______ et l’examen rhumatologique du SMR était frappante puisque que le Dr G______ avait notamment retenu un score de Beighton de 2 sur 9, ce qui excluait normalement le SEDh. Or le Dr H______ avait quant à lui retenu un score de Beighton de 8 sur 9. Le SMR ne s’était pas prononcé sur cette discordance, raison pour laquelle son appréciation ne pouvait être suivie. La recourante se référait aux conséquences du SEDh telles que décrites par le Dr H______. Ces conséquences étaient mal comprises et peu connues et ne pouvaient qu’être appréciées par un médecin spécialisé. Il y avait donc lieu de s’écarter de l’examen rhumatologique. La recourante a relevé que dans son avis médical du 15 avril 2021, le SMR avait retenu qu’elle avait présenté une aggravation de son état de santé avec un trouble dépressif sévère mais qu’il avait toutefois retenu à tort que l’hospitalisation avait été brève en indiquant qu’elle avait duré moins d’une semaine. Or, son séjour à la clinique P______ avait duré du 29 décembre 2020 au 2 février 2021, soit plus d’un mois. L’OAI avait dès lors considéré qu’il n’y avait pas d’élément objectif pour retenir une aggravation durable et que l’hospitalisation de la recourante était vraisemblablement réactionnelle et non durable. Cette qualification était contestée par le Dr J______ dans son rapport du 15 juin 2021. Ainsi, l’OAI avait retenu à tort l’absence d’une aggravation de l’état de santé de la recourante en se fondant sur une erreur factuelle.</w:t>
      </w:r>
    </w:p>
    <w:p>
      <w:r>
        <w:rPr>
          <w:b/>
        </w:rPr>
        <w:t>E. 6.1.2</w:t>
      </w:r>
    </w:p>
    <w:p>
      <w:r>
        <w:t>L’intimé a fait valoir que le SMR a constaté que le Dr H______ avait retenu, le 11 septembre 2020, un score de Beighton de 8/9 s’agissant des critères du SEDh et s’étonnait que ce score ait évolué si vite depuis que le Dr G______ avait conclu le 8 juillet 2020 à un score de Beighton de 2/9, tout comme la Dresse F______ en avril 2019. L’intimé se ralliait à l’appréciation du SMR et l’instruction du dossier permettait de statuer en pleine connaissance de cause sur l’état de santé et la capacité de travail de la recourante.![endif]&gt;![if&gt; Le Dr E______ était parfaitement au courant du diagnostic de SEDh et avait analysé les indicateurs standards de gravité, ce qui l’avait conduit à retenir une capacité de travail de 50%. Les constatations effectuées par le Dr E______, notamment sur le plan des ressources, ne permettaient pas de corroborer l’appréciation de la psychiatre traitante d’une capacité de travail nulle de la recourante depuis fin 2018. Celle-ci avait présenté une aggravation de son état de santé motivant une brève hospitalisation (moins d’une semaine) dans un contexte psychosocial difficile. Toutefois, l’évolution avait été favorable avec une hospitalisation de courte durée et l’introduction d’un traitement antidépresseur. Il n’y avait pas d’élément objectif pour retenir une durabilité de cette aggravation. En l’état, et au vu des pièces en sa possession, le SMR estimait que l’hospitalisation de la recourante était vraisemblablement réactionnelle et non durable, de sorte de que l’aggravation était passagère et ne justifiait pas un renvoi pour instruction complémentaire.</w:t>
      </w:r>
    </w:p>
    <w:p>
      <w:r>
        <w:rPr>
          <w:b/>
        </w:rPr>
        <w:t>E. 6.2</w:t>
      </w:r>
    </w:p>
    <w:p>
      <w:r>
        <w:t>![endif]&gt;![if&gt;</w:t>
      </w:r>
    </w:p>
    <w:p>
      <w:r>
        <w:rPr>
          <w:b/>
        </w:rPr>
        <w:t>E. 6.2.1</w:t>
      </w:r>
    </w:p>
    <w:p>
      <w:r>
        <w:t>De manière générale, la chambre de céans constate que l’expertise du Dr E______ répond aux réquisits formels pour se voir reconnaître une pleine valeur probante. Le Dr E______ avait connaissance du diagnostic de SEDh, puisqu’il faisait état du rapport médical du 18 avril 2019 établi par la Dresse F______, qui l’évoquait.![endif]&gt;![if&gt; Cela étant, l’expert E______ s’est prononcé sur la capacité de travail uniquement du point de vue psychiatrique et il a expressément indiqué que l’assurée devrait faire l’objet d’un nouvel examen dans les six mois ou un an, vu le nouveau médicament introduit et le risque d’aggravation.</w:t>
      </w:r>
    </w:p>
    <w:p>
      <w:r>
        <w:rPr>
          <w:b/>
        </w:rPr>
        <w:t>E. 6.2.2</w:t>
      </w:r>
    </w:p>
    <w:p>
      <w:r>
        <w:t>Le SMR lui-même a estimé nécessaire le 25 juin 2019, d’éclaircir le volet somatique, de compléter le dossier avec le rapport de la Dresse F______ et d’adresser un questionnaire complémentaire à cette dernière. Il en résulte que l’expert E______ ne s’est pas prononcé de manière consensuelle et sur la base d’une appréciation suffisante du point de vue rhumatologique. ![endif]&gt;![if&gt;</w:t>
      </w:r>
    </w:p>
    <w:p>
      <w:r>
        <w:rPr>
          <w:b/>
        </w:rPr>
        <w:t>E. 6.2.3</w:t>
      </w:r>
    </w:p>
    <w:p>
      <w:r>
        <w:t>Par ailleurs, la recourante a connu une aggravation de son état à la fin de l’année 2020, qui a justifié une hospitalisation d’un mois (du 28 décembre 2020 au 2 février 2021), sur la base d’un diagnostic de trouble dépressif récurrent épisode actuel sévère, sans symptôme psychotique. ![endif]&gt;![if&gt; Il en résulte que l’intimé a pris la décision querellée le 23 février 2021, en retenant à tort que l’hospitalisation avait duré moins d’une semaine. Dans son rapport du 15 juin 2021, le Dr J______ a indiqué, contrairement à l’appréciation du SMR, que l’épisode dépressif de décembre 2020 de la recourante n’était pas banal, puisque celle-ci était demeurée à la clinique jusqu’au 2 février 2021. De plus, des épisodes dépressifs passagers avaient existé précédemment, notamment en 2011, et l’objection du SMR selon laquelle le dernier épisode aurait été un épisode réactionnel et non durable n’était pas convaincante. L’historique de sa problématique médicale suggérait clairement que cette dernière était déjà ancienne jusqu’au moment où, effet de l’épuisement progressif, la recourante n’avait pu compenser les épisodes de rupture de son équilibre.</w:t>
      </w:r>
    </w:p>
    <w:p>
      <w:r>
        <w:rPr>
          <w:b/>
        </w:rPr>
        <w:t>E. 6.2.4</w:t>
      </w:r>
    </w:p>
    <w:p>
      <w:r>
        <w:t>De plus, il ressort du rapport établi le 11 juin 2021 par la doctoresse L______, spécialiste FMH en psychiatrie et psychothérapie, et la doctoresse M______, que l’assurée présentait des symptômes évocateurs d’un TDAH depuis un accident subi en 2007 et que le SEDh jouait un rôle important dans ce contexte. Dans son rapport du 10 juin 2021, le Dr J______ a relevé que le diagnostic de TDAH pouvait notamment faire surévaluer les capacités actives de l’assurée et par conséquent peser sur l’évaluation de son incapacité de travail. ![endif]&gt;![if&gt; Ainsi le diagnostic de TDAH est un nouvel élément qui justifie le réexamen de la capacité de travail de la recourante.</w:t>
      </w:r>
    </w:p>
    <w:p>
      <w:r>
        <w:rPr>
          <w:b/>
        </w:rPr>
        <w:t>E. 6.2.5</w:t>
      </w:r>
    </w:p>
    <w:p>
      <w:r>
        <w:t>Il faut également prendre en compte dans l’évaluation de la capacité de travail de la recourante le fait que le Dr K______ lui a diagnostiqué un déficit vestibulaire périphérique à gauche ainsi qu’une légère surdité de perception bilatérale (rapport du 11 juin 2021) et que, selon lui, les processus centraux de compensation pouvaient être à l’origine des symptômes de fatigue, troubles du sommeil, besoin accru de sommeil, troubles attentionnels, de la mémorisation, de la concentration, une intolérance au bruit, une hypersensibilité sensorielle et émotionnelle et une raideur-contracture de la nuque par réflexe de préservation, d’évitement et de mouvements de rotation de la tête. ![endif]&gt;![if&gt; Il faut déterminer si ce diagnostic établi postérieurement à la décision querellée, impactait la capacité de travail durant la période en cause.</w:t>
      </w:r>
    </w:p>
    <w:p>
      <w:r>
        <w:rPr>
          <w:b/>
        </w:rPr>
        <w:t>E. 6.2.6</w:t>
      </w:r>
    </w:p>
    <w:p>
      <w:r>
        <w:t>Au vu des considérations qui précèdent, il se justifie faire procéder à une nouvelle expertise psychiatrique. ![endif]&gt;![if&gt;</w:t>
      </w:r>
    </w:p>
    <w:p>
      <w:r>
        <w:rPr>
          <w:b/>
        </w:rPr>
        <w:t>E. 6.3</w:t>
      </w:r>
    </w:p>
    <w:p>
      <w:r>
        <w:t>Il se justifie également de faire procéder à une expertise rhumatologique, les conclusions du Dr G______, qui retenait un score de Beighton de 2/9 étant remises en cause par le rapport du Dr H______, qui retenait un score de Beighton de 8/9.![endif]&gt;![if&gt; L’appréciation de la capacité de travail du Dr G______ est également remise en cause par la Dresse F______, bien que celle-ci ait retenu, dans son rapport du 10 décembre 2019 le même score de Beighton que lui, dans la mesure où elle a estimé que la capacité de travail de la recourante dans son activité habituelle, qui était adaptée, était de 20% et qu’elle serait progressivement de 60%, alors que le Dr G______ a retenu le 31 juillet 2020 une capacité de travail de 50% dès le 1 er juin 2016.</w:t>
      </w:r>
    </w:p>
    <w:p>
      <w:r>
        <w:rPr>
          <w:b/>
        </w:rPr>
        <w:t>E. 6.4</w:t>
      </w:r>
    </w:p>
    <w:p>
      <w:r>
        <w:t>En conclusions, la chambre de céans ordonnera une expertise bidisciplinaire, psychiatrique et rhumatologique qui sera confiée au docteur N______, psychiatre et psychothérapeute, centre Q______, à Crissier et au professeur O______, chef de service de rhumatologie, Hôpital orthopédique, à Lausanne. ![endif]&gt;![if&gt; Les questions complémentaires requises par l’intimé seront intégrées à la mission d’expertise. PAR CES MOTIFS, LA CHAMBRE DES ASSURANCES SOCIALES : Statuant préparatoirement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