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A/1111/2006 vom 16. Februar 2006</w:t>
      </w:r>
    </w:p>
    <w:p>
      <w:r>
        <w:t>GE Cour de justice, 2006-02-16, FR</w:t>
      </w:r>
    </w:p>
    <w:p>
      <w:r>
        <w:rPr>
          <w:b/>
        </w:rPr>
        <w:t xml:space="preserve">Quelle: </w:t>
      </w:r>
      <w:r>
        <w:t>https://mcp.opencaselaw.ch/entscheid/ge_gerichte_A_1111_2006</w:t>
      </w:r>
    </w:p>
    <w:p>
      <w:r>
        <w:t>FR: GE_GERICHTE A/1111/2006 du 16 février 2006</w:t>
      </w:r>
    </w:p>
    <w:p>
      <w:r>
        <w:t>IT: GE_GERICHTE A/1111/2006 del 16 febbraio 2006</w:t>
      </w:r>
    </w:p>
    <w:p>
      <w:pPr>
        <w:pStyle w:val="Heading2"/>
      </w:pPr>
      <w:r>
        <w:t>Volltext</w:t>
      </w:r>
    </w:p>
    <w:p>
      <w:r>
        <w:t>Genève Cour de justice (Cour de droit public) Chambre des assurances sociales 30.11.2006 A/1111/2006</w:t>
      </w:r>
    </w:p>
    <w:p>
      <w:r>
        <w:t>A/1111/2006 ATAS/1072/2006 du 30.11.2006 ( LPP ) , PARTAGE LPP En fait En droit RÉPUBLIQUE ET CANTON DE GENÈVE POUVOIR JUDICIAIRE A/1111/2006 ATAS/1072/2006 ARRET DU TRIBUNAL CANTONAL DES ASSURANCES SOCIALES Chambre 3 du 30 novembre 2006 En la cause Madame A__________, domiciliée , CHATELAINE, comparant avec élection de domicile en l'étude de Maître Nathalie LANDRY Monsieur A__________, domicilié , GRAND-LANCY demandeurs contre CAISSE D'ASSURANCE DU PERSONNEL DE LA VILLE DE GENEVE ET DES SERVICES INDUSTRIELS DE GENEVE, sise rue de Lyon 93, case postale 123, GENEVE FONDATION DE LIBRE PASSAGE D'UBS SA, case postale, BALE défenderesses EN FAIT Par jugement du 16 février 2006, la 13 ème chambre du Tribunal de première instance a prononcé le divorce de Madame A__________, née S__________ le 1976, et Monsieur A__________, né le 1967, lesquels s'étaient mariés en date du 10 septembre 1999. Au chiffre 9 du dispositif du jugement précité, le Tribunal de première instance a donné acte aux parties de ce qu'elles se partageraient par moitié les prestations de sortie de leurs institutions de prévoyance et a ordonné ledit partage en tant que de besoin. Le jugement de divorce est devenu définitif le 21 mars 2006 et a été transmis d'office au Tribunal de céans le 28 mars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10 septembre 1999 et le 21 mars 2006. Par courrier du 10 juillet 2006, le conseil de la demanderesse a indiqué que cette dernière n'a travaillé que quelques mois en tant que nettoyeuse, puis, durant six mois, courant 2001, comme serveuse. Après quoi, elle a bénéficié des indemnités de l'assurance-chômage, du 16 août 2002 au 28 février 2004, avant d'être aidée par l'HOSPICE GENERAL. Le rassemblement des comptes individuels de l'intéressée a confirmé que, de septembre 2001 à avril 2002, elle a travaillé pour le restaurant X__________, au Petit-Lancy, avant de se retrouver au chômage. Son avoir auprès de la CAISSE DE PENSIONS GASTROSOCIAL s'élevait à Fr. 415.75 au moment du divorce. Au surplus, elle a travaillé, de février à décembre 2001, pour Y__________ SA, mais son salaire brut étant inférieur au minimum légal, elle n'a pas cotisé. Quant au demandeur, il est apparu qu'il est affilié à la CAISSE D'ASSURANCE DU PERSONNEL DE LA VILLE DE GENEVE ET DES SERVICES INDUSTRIELS DE GENEVE (CAP), que son avoir, au moment du mariage, s'élevait à Fr. 12'870.70, correspondant, après ajout des intérêts jusqu'au moment du divorce, à Fr. 15'955.05. Au moment du divorce, son avoir total s'élevait à Fr. 58'024.-, si bien que le montant à partager s'élève à Fr. 42'068.95 (58'024 - 15'955.05). Par courrier du 24 octobre 2006, la demanderesse a informé le tribunal de céans qu'elle avait ouvert un compte de prévoyance auprès de LA FONDATION DE LIBRE PASSAGE D'UBS SA (n°344566). Ces documents ont été transmis aux parties en date du 10 novembre 2006. La juridiction leur a indiqué qu'à défaut d'observations d'ici au 22 novembre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10 septembre 1999, d’autre part le 21 mars 2006, date à laquelle le jugement de divorce est devenu exécutoire. Selon les documents produits, la prestation acquise pendant le mariage par le demandeur est de Fr. 42'068.95, tandis que celle de la demanderesse est de Fr. 415.75 les intérêts ayant déjà été calculés par les institutions de prévoyance défenderesses. Ainsi le demandeur doit à son ex-épouse le montant de Fr. 21'034.50 (42'068.95 : 2) alors qu'elle lui doit le montant de Fr. 207.90 (415.75 : 2), de sorte que c’est en définitive le demandeur qui doit à son ex-épouse la somme de Fr. 20'826.60 (21'034.50 - 207.90).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CAISSE D'ASSURANCE DU PERSONNEL DE LA VILLE DE GENEVE ET DES SERVICES INDUSTRIELS DE GENEVE à transférer, du compte de Monsieur A__________, la somme de Fr. Fr. 20'826.60 à la FONDATION DE LIBRE PASSAGE D'UBS SA en faveur de Madame A__________ S__________, ainsi que des intérêts compensatoires au sens des considérants, dès le 21 mars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