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A/1109/2014 vom 4. Juni 2014</w:t>
      </w:r>
    </w:p>
    <w:p>
      <w:r>
        <w:t>GE Cour de justice, 2014-06-04, FR</w:t>
      </w:r>
    </w:p>
    <w:p>
      <w:r>
        <w:rPr>
          <w:b/>
        </w:rPr>
        <w:t xml:space="preserve">Quelle: </w:t>
      </w:r>
      <w:r>
        <w:t>https://mcp.opencaselaw.ch/entscheid/ge_gerichte_A_1109_2014</w:t>
      </w:r>
    </w:p>
    <w:p>
      <w:r>
        <w:t>FR: GE_GERICHTE A/1109/2014 du 4 juin 2014</w:t>
      </w:r>
    </w:p>
    <w:p>
      <w:r>
        <w:t>IT: GE_GERICHTE A/1109/2014 del 4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04.06.2014 A/1109/2014</w:t>
      </w:r>
    </w:p>
    <w:p>
      <w:r>
        <w:t>A/1109/2014 ATAS/677/2014 du 04.06.2014 ( AI ) , RETIRE RÉPUBLIQUE ET CANTON DE GENÈVE POUVOIR JUDICIAIRE A/1109/2014 ATAS/677/2014 COUR DE JUSTICE Chambre des assurances sociales Arrêt du 4 juin 2014 4 ème Chambre En la cause Madame A______, domiciliée à GENEVE, comparant avec élection de domicile en l'étude de Maître Maurizio LOCCIOLA recourante contre OFFICE DE L'ASSURANCE-INVALIDITE DU CANTON DE GENEVE, sis rue des Gares 12, GENEVE intimé Vu la décision de l’Office cantonal de l’assurance-invalidité (ci-après l’OAI ou l’intimé) du 17 mars 2014 refusant d’entrer en matière sur la demande de Madame à A______ (ci-après l’assurée ou la recourante) du 20 novembre 2013 ; Vu le recours interjeté par l’assurée le 15 avril 2014 ; Vu le courrier du mandataire de la recourante du 21 mai 2014 informant la chambre de céans que sa mandante retire son recours ; Considérant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 ; Que sa compétence pour juger du cas d’espèce est ainsi établie ; Qu’il convient de prendre acte du retrait du recours et de rayer la cause du rôle ; Que pour le surplus, la procédure est gratuite ; PAR CES MOTIFS, LA CHAMBRE DES ASSURANCES SOCIALES : Statuant 1.        Prend acte du retrait du recours.![endif]&gt;![if&gt; 2.        Raye la cause du rôle.![endif]&gt;![if&gt; 3.        Dit que la procédure est gratuite.![endif]&gt;![if&gt; La greffière Isabelle CASTILLO La présidente Juliana BALDE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