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A/1106/2010 vom 13. Januar 2011</w:t>
      </w:r>
    </w:p>
    <w:p>
      <w:r>
        <w:t>GE Cour de justice, 2011-01-13, FR</w:t>
      </w:r>
    </w:p>
    <w:p>
      <w:r>
        <w:rPr>
          <w:b/>
        </w:rPr>
        <w:t xml:space="preserve">Quelle: </w:t>
      </w:r>
      <w:r>
        <w:t>https://mcp.opencaselaw.ch/entscheid/ge_gerichte_A_1106_2010</w:t>
      </w:r>
    </w:p>
    <w:p>
      <w:r>
        <w:t>FR: GE_GERICHTE A/1106/2010 du 13 janvier 2011</w:t>
      </w:r>
    </w:p>
    <w:p>
      <w:r>
        <w:t>IT: GE_GERICHTE A/1106/2010 del 13 gennaio 2011</w:t>
      </w:r>
    </w:p>
    <w:p>
      <w:pPr>
        <w:pStyle w:val="Heading2"/>
      </w:pPr>
      <w:r>
        <w:t>Erwägungen</w:t>
      </w:r>
    </w:p>
    <w:p>
      <w:r>
        <w:rPr>
          <w:b/>
        </w:rPr>
        <w:t>E. 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9</w:t>
      </w:r>
    </w:p>
    <w:p>
      <w:r>
        <w:t>En l'espèce, le Tribunal constate que les doutes émis par la recourante au sujet de la valeur probante de l’examen clinique du SMR du 2 novembre 2009 effectué par le Dr C__________ sur lequel se base notamment l’OAI sont justifiées. En effet, l’examen clinique du SMR mentionné ci-dessus conclut à une capacité de 100% aussi bien dans l’activité habituelle que dans une activité adaptée alors que, selon le Dr. A__________ et le Dr B__________, médecins traitants, l’incapacité de travail de la recourante est de 100% en raison de trouble dépressif majeur récurrent et d’anxiété généralisée.</w:t>
      </w:r>
    </w:p>
    <w:p>
      <w:r>
        <w:rPr>
          <w:b/>
        </w:rPr>
        <w:t>E. 10</w:t>
      </w:r>
    </w:p>
    <w:p>
      <w:r>
        <w:t>L’OAI a informé, par courrier du 14 décembre 2010, qu’il n’avait pas d’observation particulière à formuler quant au choix de l’expert et a souhaité, si l’expert s’écarte de l’avis du Dr. C__________, qu’il en explique les raisons. Pour sa part, la recourante a approuvé la désignation de l’expert et a complété la mission d’expertise par des questions particulières qui ont été intégrées à ladite mission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