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A/1094/2020 vom 26. Mai 2020</w:t>
      </w:r>
    </w:p>
    <w:p>
      <w:r>
        <w:t>GE Cour de justice, 2020-05-26, FR</w:t>
      </w:r>
    </w:p>
    <w:p>
      <w:r>
        <w:rPr>
          <w:b/>
        </w:rPr>
        <w:t xml:space="preserve">Quelle: </w:t>
      </w:r>
      <w:r>
        <w:t>https://mcp.opencaselaw.ch/entscheid/ge_gerichte_A_1094_2020</w:t>
      </w:r>
    </w:p>
    <w:p>
      <w:r>
        <w:t>FR: GE_GERICHTE A/1094/2020 du 26 mai 2020</w:t>
      </w:r>
    </w:p>
    <w:p>
      <w:r>
        <w:t>IT: GE_GERICHTE A/1094/2020 del 26 maggio 2020</w:t>
      </w:r>
    </w:p>
    <w:p>
      <w:pPr>
        <w:pStyle w:val="Heading2"/>
      </w:pPr>
      <w:r>
        <w:t>Erwägungen</w:t>
      </w:r>
    </w:p>
    <w:p>
      <w:r>
        <w:rPr>
          <w:b/>
        </w:rPr>
        <w:t>E. 4</w:t>
      </w:r>
    </w:p>
    <w:p>
      <w:r>
        <w:t>ème section dans la cause Madame A______ contre ADMINISTRATION FISCALE CANTONALE et ADMINISTRATION FÉDÉRALE DES CONTRIBUTIONS et COUR DE JUSTICE - CHAMBRE ADMINISTRATIVE EN FAIT 1) Madame A______ est domiciliée à B______, en France. Elle travaille à Genève et y est soumise à l'impôt à la source (ci-après : IS). 2) À la suite de divers courriers adressés à l'administration fiscale cantonale (ci-après : AFC-GE), dans lesquels elle disait notamment vivre séparée de son mari depuis de nombreuses années, chacun vivant à une adresse différente, l'AFC-GE a, par bordereaux datés du 31 juillet 2018, rectifié l'IS 2015 à 2017 de Mme A______ en appliquant le barème A0 (personne séparée sans enfant à charge). 3) Mme A______ a, sans succès, élevé réclamation contre ces bordereaux, puis interjeté recours auprès du Tribunal administratif de première instance (ci-après : TAPI). 4) Par acte posté le 28 mai 2019, Mme A______ a interjeté recours auprès de la chambre administrative de la Cour de justice (ci-après : la chambre administrative) contre le jugement précité, concluant à l'annulation « des impositions effectuées par l'AFC-GE ». Elle avait participé activement à la « vie de la maison », payé des factures, fait des achats et travaillé dans le jardin. Elle avait maintenu un lien très fort avec son mari durant les dernières années, qui avaient été très difficiles dans toutes les démarches administratives nécessitées par son licenciement, et l'avait soutenu financièrement. Ils n'avaient jamais voulu de séparation mais « garder leur état de mariés », et n'avaient jamais établi de convention attestant du versement de pensions ou autres arrangements « qui seraient affiliés en tant que document de séparation, à savoir une séparation de fait ». Enfin, ils avaient voulu garder leurs adresses propres pour avoir une meilleure vie. 5) L'AFC-GE a répondu au recours le 26 juin 2019, et les parties se sont vu donner un délai au 30 août 2019 pour formuler toutes requêtes et observations complémentaires, après quoi la cause serait gardée à juger. Mme A______ a souis des observations complémentaires le 26 août 2019. 6) Par arrêt du 10 mars 2020 ( ATA/288/2020 ), la chambre administrative a rejeté le recours de Mme A______. S'agissant du barème A « personne seule », il ne s'appliquait pas qu'aux concubins (les personnes vivant avec des enfants mineurs étant imposées selon le barème H), mais aussi aux personnes divorcées, ou séparées de corps ou de fait, ce qui était le cas de figure visé en l'espèce par l'autorité intimée ; étant précisé que la séparation de fait n'impliquait pas nécessairement de prononcé judiciaire. Le domicile séparé n'était pas contesté par la recourante, qui indiquait dans son recours qu'elle et son mari avaient voulu « garder leurs adresses propres pour avoir une meilleure vie ». Seul donc était litigieux le maintien ou non du ménage commun malgré le domicile séparé. À cet égard, les éléments mis en avant par Mme A______ n'étaient pas suffisants pour remettre en cause la séparation de fait. En effet, elle indiquait avoir participé activement à la « vie de la maison » en payant des factures, faisant des achats et travaillant dans le jardin, avoir maintenu un lien très fort avec son mari durant les dernières années, et l'avoir soutenu financièrement. Ces allégations n'étaient, à l'exception de la production de quelques factures (taxe foncière, électricité notamment), pas étayées. De plus, le paiement de ces frais était inhérent au statut de copropriétaire de la maison. Mme A______ ne prétendait pas avoir pourvu dans une large mesure à l'entretien de son mari, et n'avait d'ailleurs pas fourni d'attestation émanant de ce dernier et susceptible de confirmer ses dires. Le fait de maintenir un lien avec son mari, ou encore de faire des achats pour la maison ou de jardiner, ne pouvaient quoi qu'il en fût valoir à eux seuls ménage commun. C'était ainsi à raison que l'AFC-GE avait considéré Mme A______ comme séparée de fait et l'avait taxée selon le barème « personne seule ». Le recours devait dès lors être rejeté. 7) Par acte posté le 2 avril 2020, Mme A______ s'est adressée à la chambre administrative en déclarant vouloir faire recours pour constatation inexacte des faits et demander la révision de l' ATA/288/2020 car elle n'avait « pas connaissance d'apporter un témoignage, en l'occurrence celui de [s]on mari, qui viendrait étayer [s]es propos quant au ménage commun ». Elle ne savait pas qu'elle pouvait joindre à son recours, en plus des factures, un document servant de témoignage et pouvant prouver ses dires. Elle rectifiait son erreur en joignant une attestation établie par son mari et confirmant qu'il y avait bien eu ménage commun lors des périodes considérées. Elle faisait également valoir des griefs non relatifs à une éventuelle révision. 8) Ce courrier a été transmis au Tribunal fédéral, avec indication que la chambre administrative avait ouvert une procédure en révision. 9) Sur ce, la cause a été gardée à juger, sans échange d'écritures. EN DROIT 1.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 ème édition, 2010, n. 990 ss). b. Selon l'art. 55 al. 1 de la loi de procédure fiscale du 4 octobre 2001 (LPFisc - D 3 17),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c. La demande de révision doit être formée dans les 90 jours qui suivent la découverte du motif de révision mais au plus tard dans les dix ans qui suivent la notification de la décision ou de l'arrêt prononcé (art. 56 LPFisc).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 d.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 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(arrêts du Tribunal fédéral 2C_962/2019 du 19 février 2020 consid. 5.3 ; 2C_245/2019 du 27 septembre 2019 consid. 5.3 et les références citées). f.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 2. En l'occurrence, la recourante sollicite la révision de l'arrêt de la chambre administrative pour obtenir le réexamen des décisions de taxation d'IS sur lesquelles celle-ci a statué définitivement. Sa requête ne remplit à l'évidence pas l'une ou l'autre des conditions qui devraient être réunies pour entrer en matière sur une telle démarche. Elle n'allègue la découverte d'aucun fait nouveau important ou preuve concluante, ni ne fait valoir de faits importants ou de preuves concluantes dont la chambre de céans aurait dû tenir compte alors qu'ils leur avaient été soumis. Elle n'invoque pas non plus de violation des règles essentielles de procédure, ni un crime ou un délit ayant influencé le prononcé de l'arrêt dont la révision est requise, mais se contente de fournir une pièce dont elle dit ne pas avoir su qu'il fût possible de la produire, à savoir le témoignage écrit de son mari. Quand bien même la recourante n'est ni avocate ni mandataire professionnellement qualifiée, il était évident qu'elle devait prouver la réalité de la situation exceptionnelle que constitue la poursuite d'un ménage commun malgré une séparation de fait. Or, elle n'a ni produit l'attestation de son mari qu'elle fournit maintenant, ni même demandé que ce dernier fût entendu par la chambre de céans, se contentant de produire quelques factures en lien avec la maison que les époux possèdent tous les deux. Quoi qu'il en soit, ces différents moyens de preuve étaient disponibles au moment de la première procédure, si bien qu'ils auraient pu être présentés dans la procédure ordinaire. Ces constats empêchent d'entrer en matière sur toute révision de l'arrêt de la chambre administrative du 10 mars 2020 et, partant, de remettre en question les décisions de taxation IS 2015 à 2017. La demande de révision formée par la contribuable ne remplit manifestement pas les conditions de l'art. 55 al. 1 LPFisc. Elle doit être déclarée irrecevable, sans que l'ouverture d'une instruction à ce sujet soit nécessaire (art. 72 LPA). 3. Au vu des circonstances d'espèce, il sera renoncé à un émolument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