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A/1091/2016 vom 27. September 2016</w:t>
      </w:r>
    </w:p>
    <w:p>
      <w:r>
        <w:t>GE Cour de justice, 2016-09-27, FR</w:t>
      </w:r>
    </w:p>
    <w:p>
      <w:r>
        <w:rPr>
          <w:b/>
        </w:rPr>
        <w:t xml:space="preserve">Quelle: </w:t>
      </w:r>
      <w:r>
        <w:t>https://mcp.opencaselaw.ch/entscheid/ge_gerichte_A_1091_2016</w:t>
      </w:r>
    </w:p>
    <w:p>
      <w:r>
        <w:t>FR: GE_GERICHTE A/1091/2016 du 27 septembre 2016</w:t>
      </w:r>
    </w:p>
    <w:p>
      <w:r>
        <w:t>IT: GE_GERICHTE A/1091/2016 del 27 settembre 2016</w:t>
      </w:r>
    </w:p>
    <w:p>
      <w:pPr>
        <w:pStyle w:val="Heading2"/>
      </w:pPr>
      <w:r>
        <w:t>Erwägungen</w:t>
      </w:r>
    </w:p>
    <w:p>
      <w:r>
        <w:rPr>
          <w:b/>
        </w:rPr>
        <w:t>E. 1</w:t>
      </w:r>
    </w:p>
    <w:p>
      <w:r>
        <w:t>Monsieur A______ a été placé en détention à la prison de Champ-Dollon le 25 octobre 2011 et y est détenu depuis lors, sous réserve de la période du 2 mai 2013 au 24 juin 2013, période pendant laquelle il a été transféré dans l’établissement de la Brénaz.![endif]&gt;![if&gt;</w:t>
      </w:r>
    </w:p>
    <w:p>
      <w:r>
        <w:rPr>
          <w:b/>
        </w:rPr>
        <w:t>E. 2</w:t>
      </w:r>
    </w:p>
    <w:p>
      <w:r>
        <w:t>Le 30 juillet 2015, il a requis du département de la sécurité et de l’économie (ci-après : le département ou DSE) que celui-ci constate le caractère illicite de ses conditions de détention.![endif]&gt;![if&gt;</w:t>
      </w:r>
    </w:p>
    <w:p>
      <w:r>
        <w:rPr>
          <w:b/>
        </w:rPr>
        <w:t>E. 3</w:t>
      </w:r>
    </w:p>
    <w:p>
      <w:r>
        <w:t>Le 31 août 2015, le département s’est déclaré incompétent pour examiner la requête de l’intéressé en tant qu’elle concernait la période de détention avant jugement, soit avant le 29 mai 2013, et compétent pour la période d’exécution de peine.![endif]&gt;![if&gt;</w:t>
      </w:r>
    </w:p>
    <w:p>
      <w:r>
        <w:rPr>
          <w:b/>
        </w:rPr>
        <w:t>E. 4</w:t>
      </w:r>
    </w:p>
    <w:p>
      <w:r>
        <w:t>S’en sont suivi un litige pour savoir quelle était l’autorité compétente pour la période de détention avant jugement ainsi qu’une divergence quant à la date à compter de laquelle l’intéressé était en exécution de peine.![endif]&gt;![if&gt;</w:t>
      </w:r>
    </w:p>
    <w:p>
      <w:r>
        <w:rPr>
          <w:b/>
        </w:rPr>
        <w:t>E. 5</w:t>
      </w:r>
    </w:p>
    <w:p>
      <w:r>
        <w:t>Par requête du 16 décembre 2015, complétée le 28 janvier 2016, M. A______ a sollicité du département une reconsidération de la décision du 31 août 2015.![endif]&gt;![if&gt; Sa requête portait sur la période du 22 janvier au 1 er mai 2013.</w:t>
      </w:r>
    </w:p>
    <w:p>
      <w:r>
        <w:rPr>
          <w:b/>
        </w:rPr>
        <w:t>E. 6</w:t>
      </w:r>
    </w:p>
    <w:p>
      <w:r>
        <w:t>Par décision du 23 février 2016, le département a reconsidéré la décision querellée.![endif]&gt;![if&gt; Le détenu se trouvait effectivement en exécution de peine dès le 22 janvier 2013. Le département était en conséquence compétent pour examiner les conditions de détention dès cette date. Sur le fond, les conditions de détention pour la période du 22 janvier au 1 er mai 2013, date du transfert du détenu, n’avaient pas été illicites.</w:t>
      </w:r>
    </w:p>
    <w:p>
      <w:r>
        <w:rPr>
          <w:b/>
        </w:rPr>
        <w:t>E. 7</w:t>
      </w:r>
    </w:p>
    <w:p>
      <w:r>
        <w:t>Par acte du 11 avril 2016, M. A______ a interjeté recours auprès de la chambre administrative de la Cour de justice (ci-après : la chambre administrative) contre la décision sur reconsidération précitée.![endif]&gt;![if&gt; Il a conclu à la constatation du caractère illicite des conditions de détention entre le 26 février et le 1 er mai 2013. Principalement, sa peine devait être réduite de manière proportionnelle à la durée pendant laquelle il avait été détenu dans des conditions illicites. Subsidiairement, une indemnité d’au moins CHF 3'250.- devait lui être allouée. Les conclusions étaient prises « sous suite de frais et dépens ». Conformément au rapport de la direction de la prison de Champ-Dollon du 16 septembre 2015, il avait été détenu dans des espaces respectivement de 4,78 m 2 puis 5,09 m 2 pendant la période du 22 janvier 2013 au 25 février 2013. Du 26 février au 1 er mai 2013, il avait été détenu dans une cellule de type C1 de l’unité I Nord avec deux codétenus bénéficiant d’une surface individuelle nette de 3,39 m 2 pendant soixante-cinq jours. L’un des détenus devait dormir sur un matelas posé à même le sol ne disposant pas d’une literie complète. Par solidarité, ceux-ci procédaient à un tournus équitable relatif aux nuits passées sur le matelas. Il y avait dormi vingt nuits. En raison de la surpopulation carcérale, la literie n’était pas renouvelée fréquemment alors même que tel aurait dû être le cas pour des raisons d’hygiène. Il avait systématiquement dû prendre ses repas en cellule. À l’exception de l’heure de promenade journalière, il était confiné vingt-trois heures par jour. Les cours de promenade de l’établissement de Champ-Dollon étaient insalubres selon le rapport de la Commission nationale de la prévention de la torture (ci-après : CNPT) de février 2013. Il avait refusé son transfert dans l’aile Est à deux reprises, craignant de se retrouver, dans les mêmes conditions, avec des détenus avec lesquels il risquait de ne pas s’entendre. Jamais il ne lui avait été indiqué qu’un transfert dans une cellule de l’aile Est aurait un quelconque impact sur ses conditions de détention, en particulier sur l’espace et la « population » de sa cellule. L’effet cumulé de l’espace individuel restreint à une surface de 3,39 m 2 , du nombre de soixante-cinq jours passés dans ces conditions de détention particulièrement difficiles et du confinement en cellule 23h/24h avaient rendu la détention subie pendant cette période incompatible avec le niveau inévitable de souffrance inhérent à toute mesure de privation de liberté. Un tel mode de détention lui avait procuré une détresse qui dépassait le minimum de gravité requis et s’apparentait à un traitement dégradant au sens de la convention européenne des droits de l’homme (Convention de sauvegarde des droits de l’homme et des libertés fondamentales du 4 novembre 1950 - CEDH - RS 0.101 - ci-après : CEDH).</w:t>
      </w:r>
    </w:p>
    <w:p>
      <w:r>
        <w:rPr>
          <w:b/>
        </w:rPr>
        <w:t>E. 8</w:t>
      </w:r>
    </w:p>
    <w:p>
      <w:r>
        <w:t>Par observations du 11 mai 2016, le département a conclu au rejet du recours.![endif]&gt;![if&gt; La période de soixante jours de détention effectuée dans une cellule laissant au détenu 3,39 m 2 d’espace individuel n’était pas suffisante pour consacrer une illicéité conformément à la jurisprudence. Pour le surplus, ses arguments seront repris en tant que de besoin dans la partie en droit.</w:t>
      </w:r>
    </w:p>
    <w:p>
      <w:r>
        <w:rPr>
          <w:b/>
        </w:rPr>
        <w:t>E. 9</w:t>
      </w:r>
    </w:p>
    <w:p>
      <w:r>
        <w:t>Invité à répliquer s’il le souhaitait, le recourant a persisté dans ces développements par courrier du 13 juin 2016.![endif]&gt;![if&gt;</w:t>
      </w:r>
    </w:p>
    <w:p>
      <w:r>
        <w:rPr>
          <w:b/>
        </w:rPr>
        <w:t>E. 10</w:t>
      </w:r>
    </w:p>
    <w:p>
      <w:r>
        <w:t>Par pli du 16 juin 2016, les parties ont été informées que la cause était gardée à juger.![endif]&gt;![if&gt; EN DROIT 1. La chambre administrative examine d’office sa compétence, qui est déterminée par la loi et ne peut être créée par accord entre les parties (art. 11 al. 1 et 2 de la loi sur la procédure administrative du 12 septembre 1985 - LPA - E 5 10) ; ATA/654/2015 du 23 juin 2015 consid. 1 ; ATA/375/2013 du 18 juin 2013 consid. 2 ; ATA/727/2012 du 30 octobre 2012 consid. 2a et les arrêts cités). Celle-ci est définie à l’art. 132 de la loi sur l'organisation judiciaire du 26 septembre 2010 (LOJ - E 2 05). ![endif]&gt;![if&gt; La chambre administrative est l’autorité supérieure ordinaire de recours en matière administrative (art. 132 al. 1 LOJ). Le recours est ouvert contre les décisions des autorités et juridictions administratives au sens des art. 4, 4A, 5, 6 al. 1 let. a et e, et 57 LPA, sauf exceptions prévues par la loi (art. 132 al. 2 LOJ) ou lorsque le droit fédéral ou une loi cantonale prévoit une autre voie de recours (art. 132 al. 8 LOJ), ou encore lorsque la saisine est prévue dans des lois particulières (art. 132 al. 6 LOJ). 2. Le recours est dirigé contre une décision de reconsidération du DSE, qui s’est déclaré compétent pour examiner la requête du recourant en tant qu’elle portait sur la période d’exécution de peine du 22 janvier au 1 er mai 2013, date du transfert de l’intéressé dans un autre établissement et a constaté que les conditions de détention y relatives n’étaient pas illicites.![endif]&gt;![if&gt; Le recourant ne conteste pas que le présent litige ne porte que sur cette période. 3. a. Au niveau conventionnel, l'art. 3 CEDH, qui interdit, à l'instar d'autres dispositions constitutionnelles et conventionnelles, la torture et les peines ou traitements inhumains ou dégradants, impose notamment des standards minimaux en matière de détention (ATF 124 I 231 consid. 2 p. 235).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 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 - GE - A 2 00) prévoit que la torture et tout autre traitement ou peine cruels, inhumains ou dégradants sont interdits (art. 18 al. 2) et que la dignité humaine est inviolable (art. 14 al. 1).![endif]&gt;![if&gt; b. Les standards minimaux en matière de détention sont concrétisés par la recommandation Rec(2006)2 sur les règles pénitentiaires européennes adoptée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(sic), si le temps le permet, d'effectuer au moins une heure par jour d'exercice en plein air (règle 27.1). c. Ces règles ont été encore précisées dans un commentaire établi par le CPT. S'agissant des conditions de logement, le CPT a arrêté quelques standards minimaux : l'espace au sol disponible est estimé à 4 m 2 par détenu dans un dortoir et à 6 m 2 dans une cellule individuelle, sans qu’il soit précisé si ces standards doivent se comprendre comme une surface brute, comprenant les installations sanitaires et les meubles, ou nette, soit déduction faite de ces installations et meubles (ATF 140 I 125 consid. 3.6.3 p. 139 ; arrêts du Tribunal fédéral 1B_404/2013 du 26 février 2014 consid. 2.6.3 ; 1B_369/2013 du 26 février 2014 consid. 3.6.3 ; 1B_336/2013 26 février 2014 consid. 4.6.3 ; 1B_335/2013 du 26 février 2014 consid. 3.6.3).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 2 . La taille devrait être comprise entre 9 et 14,7 m 2 pour deux personnes et mesurer environ 23 m 2 pour trois personnes (Rod MORGAN/Malcolm EVANS, Prévention de la torture en Europe : Les normes du CPT en matière de détention par la police et de détention préventive, 2002, p. 34). d. Au niveau législatif, en matière de procédure pénale, l'art. 3 al. 1 du code de procédure pénale suisse du 5 octobre 2007 (CPP - RS 312.0) rappelle le principe du respect de la dignité humaine. Selon l’art. 74 du Code pénal suisse du 21 décembre 1937 (CP - RS 311.0),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 f. Le 26 février 2014, le Tribunal fédéral a rendu plusieurs arrêts en matière d’examen des conditions de détention, dans le cadre de la détention provisoire, confirmés ultérieurement. À cette occasion, le Tribunal fédéral a rappelé la jurisprudence fédérale existante (ATF 140 I 125 précité consid. 3.3 p. 133). 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précité consid. 3.3 p. 133). 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 Le Tribunal fédéral a également examiné la jurisprudence rendue par la Cour européenne des droits de l’Homme (ci-après : CourEDH ; ATF 140 I 125 consid. 3.4 et 3.5 p. 134 ss), que la Suisse s'est engagée à respecter (art. 46 ch. 1 CEDH et 122 de la loi fédérale sur le Tribunal fédéral du 17 juin 2005 [LTF - RS 173.110]). 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 2 (ACEDH Torreggiani et autres c. Italie du 8 janvier 2013, req. n os 43517/09, 46882/09, 55400/09, 57875/09, 61535/09, 35315/10 et 37818/10, § 68 ; ACEDH Canali c. France du 25 avril 2013, req. n° 40119/09, § 49 ; ACEDH Sulejmanovic c. Italie du 16 juillet 2009, req. n° 22635/03, § 43 ; ACEDH Idalov c. Russie du 22 mai 2012, req. n°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 2 ,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n° 15217/07, §§ 94 à 98). 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 Après examen des jurisprudences fédérales et de la CourEDH, le Tribunal fédéral a retenu, en matière de détention provisoire, qu’en cas de surpopulation carcérale telle que la connaît la prison de Champ-Dollon, l'occupation d'une cellule dite individuelle par trois détenus – chacun disposant d'un espace individuel de 4 m 2 ,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 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 g. S'agissant de la surface effective des cellules comportant une douche, le Tribunal fédéral a admis la déduction de la surface tant des installations sanitaires que de la douche (ATF 140 I 125 précité consid. 3.6.3 p. 139) pour obtenir la surface nette à disposition des détenus. Cette position a été confirmée dans un récent arrêt (arrêt du Tribunal fédéral 6B_456/2015 du 21 mars 2016 consid. 2.4.2). À l’instar du Tribunal des mesures de contrainte, la chambre administrative a déduit de la surface des cellules les surfaces des installations sanitaires et de la douche ( ATA/259/2016 du 22 mars 2016 ; ATA/65/2016 , ATA/67/2016 et ATA/68/2016 du 26 janvier 2016 ; OTMC/3305/2015 du 20 novembre 2015 ; OTMC/1107/2015 du 22 avril 2015). h. La chambre administrative a retenu ( ATA/1145/2015 du 27 octobre 2015) que la présence de meubles ne réduisait pas excessivement l’espace pour se mouvoir, la télévision étant notamment fixée en hauteur directement au mur et le frigo placé sous la table, de manière à préserver au maximum l’espace disponible. i.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arrêts du Tribunal fédéral 1B_152/2015 précité consid. 2.7.2 et 1B_239/2015 précité consid. 2.5.2). Le Tribunal fédéral a, à cet égard, jugé que des périodes de quatorze jours passés dans une cellule de plus de 4 m 2 succédant à une période de neuf jours dans une cellule avec 3,83 m 2 , de onze jours faisant suite à soixante jours passés avec un espace individuel inférieur à 3,83 m 2 pouvaient être considérés comme une période interrompant le départ du délai indicatif de trois mois. Il a toutefois retenu qu'une période de sept jours interrompant cent trente-cinq jours et quarante-huit jours en cellule non conforme à l'art. 3 CEDH, n'était pas suffisamment longue pour interrompre le délai indicatif de trois mois au-delà duquel les conditions de détention ne sont plus tolérables et sont contraires à la dignité humaine. Il en était de même d'un laps de temps de douze jours précédé de quarante-huit jours et suivi de trois cent vingt-neuf jours ne satisfaisant pas aux exigences de respect de la dignité humaine. Ces laps de temps de sept et douze jours n'étaient pas suffisamment longs pour interrompre le délai indicatif de trois mois au-delà duquel les conditions de détention n'étaient plus tolérables et étaient contraires à la dignité humaine. Ils n'étaient pas susceptibles de justifier l'ouverture d'une nouvelle période de trois mois, durant laquelle le détenu pouvait tolérer une surface individuelle nette inférieure à 4 m 2 (arrêts du Tribunal fédéral 1B_152/2015 précité consid. 2.7.2 et 1B_239/2015 précité consid. 2.5.2). Selon le Tribunal fédéral,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Champ-Dollon, à rendre les conditions de détention conformes à l'art. 3 CEDH. Dès lors, l'hypothèse d'une prise de travail par le détenu ne permettait pas de considérer comme conformes à la dignité humaine les périodes de détention subies dans un espace confiné de moins de 4 m 2 par détenu (in casu cent quatre-vingt-quatre jours et cent quarante-neuf nuits ; arrêt du Tribunal fédéral 1B_239/2015 du 29 septembre 2015 consid. 2.5.3 ; ACPR/650/2015 du 1 er décembre 2015 consid. 3.1). j. Dans l’ ATA/259/2016 précité, la chambre de céans a retenu que le fait que le recourant ait pu faire du sport une heure par semaine dans la grande salle ainsi que deux ou trois fois par semaine, « de manière cyclique » n'était pas de nature à modifier la conclusion selon laquelle le détenu était confiné vingt-trois heures sur vingt-quatre, vu le temps très limité hors de la cellule que cela représentait. 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 ATA/259/2016 précité consid. 6c). k. Dans l’ ATA/681/2016 du 16 août 2016, la chambre administrative a retenu que pouvoir travailler dans un atelier cinq heures par jour, cinq jours par semaine pendant les deux cent un jours de détention litigieux, avec une heure de promenade par jour à laquelle s’ajoutaient, sur l’ensemble de la semaine, les heures de sport, était un cas limite. L’ensemble de ces éléments contribuait à une amélioration des conditions de détention suffisante pour admettre que lesdites conditions, dans les circonstances décrites, pour difficiles qu’elles fussent, n’étaient pas illicites. Par contre, les deux heures et demie quotidiennes de repas hors de la cellule, l’heure de promenade quotidienne et les trois à quatre heures hebdomadaires d’activité sportives ne suffisent pas à mettre fin au confinement du détenu ( ATA/696/2016 du 23 août 2016). l. Le fait que le détenu ait refusé d’être transféré dans une cellule du même type dans une autre aile de la prison ne modifie pas le constat d’illicéité des modalités de détention, l’autorité n’ayant pas démontré le lien entre la localisation de la cellule et la possibilité pour le recourant d’obtenir une place de travail ( ATA/695/2016 du 23 août 2016). 4. En l’espèce, le recours porte sur la période du 22 janvier au 1 er mai 2013. ![endif]&gt;![if&gt; a. Le recourant ne conteste pas avoir bénéficié de plus de 4,78 m 2 au minimum du 22 janvier jusqu’au 25 février 2013, soit un espace compatible avec la CEDH, conformément à la jurisprudence précitée. Il ne prend d’ailleurs pas de conclusions en constat d’illicéité pour ces quelques jours. b. Pendant la période du 26 février au 1 er mai 2013, le détenu indique n’avoir bénéficié que d’une surface 3,39 m 2 . Le calcul de la surface n’est pas contesté par l’intimé et est conforme à la jurisprudence s’agissant d’une cellule C1 de l’aile nord, dont la surface nette à retenir et à diviser par le nombre de détenus s’élève à 10,18m 2 . Ladite période, de soixante-quatre jours, est toutefois inférieure au seuil de trois mois retenu par le Tribunal fédéral au titre de durée indicative à prendre en compte dans le cadre de l’appréciation globale de toutes les circonstances. Par ailleurs, aucun des autres griefs du recourant ne correspond à la définition des facteurs supplémentaires devant être pris en compte conformément à la jurisprudence de la CourEDH. La prise de repas en cellule est comprise dans le temps de confinement dont il est tenu compte dans l’appréciation des trois mois susmentionnée. Contrairement à ce que soutient le recourant, il ne lui est pas fait grief d’avoir refusé son transfert dans l’aile Est. S’agissant de « l’insalubrité » alléguée de la cour de promenade, ce terme apparaît en décalage avec les recommandations de la CNPT, lesquelles mentionnent uniquement que  « la plus grande cour qui est située dans la partie principale du bâtiment offre la possibilité aux détenus de pratiquer des jeux de ballons. Il y a également deux tables de ping-pong. Toutefois, lors du passage de la Commission la cour de promenade était sale avec des mégots et des déchets qui jonchaient le sol. Par ailleurs, étant donné que les cellules sont situées juste au-dessus de la cour, les détenus jettent souvent des objets pendant que d’autres détenus, notamment femmes se promènent. La Commission estime que la grande cour devrait présenter un niveau de propreté acceptable pour un établissement de cette taille et recommande aussi sa rénovation pour la rendre plus accueillante ». Par ailleurs, concernant les conditions d’hygiène de la literie, ledit rapport ne fait aucune mention de manquements dans les conditions d’hygiène des matelas (Rapport du 12 février 2013 au Conseil d’État du canton de Genève concernant la visite par la CNPT à la prison de Champ-Dollon les 19, 20 et 21 juin 2012 p. 8 n° 24 ; http://www.nkvf.admin.ch/dam/data/nkvf/Berichte/2012/champ -dollon/130212_ber_champ_dollon.pdf; consulté le 22 septembre 2016). Sur ces deux points, à juste titre, le département renvoie, notamment, à l’arrêt du Tribunal fédéral du 26 février 2014 ( 1b_404/2013 consid. 2.6.3) qui retient que l’établissement de Champ-Dollon a su maintenir, malgré la surpopulation, un état d’hygiène, d’aération, d’approvisionnement en eau, nourriture, chauffage et lumière, convenable. Pour le surplus, la direction de la prison a confirmé que les draps et taies d’oreiller étaient renouvelés toutes les deux semaines et les cours de promenade nettoyées toutes les semaines. Dans ces conditions, le recours, infondé, sera rejeté. 5. Vu la nature du litige et son issue, aucun émolument ne sera perçu (art. 87 al. 1 LPA ; art. 12 al. 1 du règlement sur les frais, émoluments et indemnités en procédure administrative du 30 juillet 1986 - RFPA - E 5 10.03),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