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A/107/2024 vom 28. Juni 2024</w:t>
      </w:r>
    </w:p>
    <w:p>
      <w:r>
        <w:t>GE Cour de justice, 2024-06-28, FR</w:t>
      </w:r>
    </w:p>
    <w:p>
      <w:r>
        <w:rPr>
          <w:b/>
        </w:rPr>
        <w:t xml:space="preserve">Quelle: </w:t>
      </w:r>
      <w:r>
        <w:t>https://mcp.opencaselaw.ch/entscheid/ge_gerichte_A_107_2024</w:t>
      </w:r>
    </w:p>
    <w:p>
      <w:r>
        <w:t>FR: GE_GERICHTE A/107/2024 du 28 juin 2024</w:t>
      </w:r>
    </w:p>
    <w:p>
      <w:r>
        <w:t>IT: GE_GERICHTE A/107/2024 del 28 giugno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Le délai de recours est de 30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et compte tenu du fait que la décision querellée, adressée sous pli simple, a été notifiée le 27 novembre 2023 selon les allégations de la recourante, le recours est recevable sous ces angles.</w:t>
      </w:r>
    </w:p>
    <w:p>
      <w:r>
        <w:rPr>
          <w:b/>
        </w:rPr>
        <w:t>E. 2.2</w:t>
      </w:r>
    </w:p>
    <w:p>
      <w:r>
        <w:t>L'art. 59 LPGA accorde la qualité pour recourir à quiconque est touché par la décision ou la décision sur opposition et a un intérêt digne d'être protégé à ce qu'elle soit annulée ou modifiée. La notion d’intérêt digne de protection de l’art. 59 LPGA est la même que celle prévue dans la procédure fédérale de recours (ATF 130 V 388 consid. 2.2 ; ATAS/990/2018 du 25 octobre 2018 consid. 3 ; Jean MÉTRAL, in Commentaire romand, LPGA, 2018, n. 8 ad art. 59 LPGA).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130 V 196 consid. 3 ; ATAS/990/2018 consid. 3 ; Jean MÉTRAL, op. cit ., n. 11 ad art. 59 LPGA). L’intérêt digne de protection ne doit pas nécessairement se recouper avec l’intérêt protégé par la norme invoquée à l’appui du recours (ATF 133 V 188 consid. 4.3.1 ; Jean MÉTRAL, op. cit ., n. 15 ad art. 59 LPGA). Savoir si un intérêt digne de protection existe ne dépend donc pas de la motivation du recours, mais plutôt des conclusions prises par le recourant. Dans le même ordre d’idée, l’intérêt au recours doit porter sur la modification ou sur l’annulation du dispositif de la décision et non uniquement sur une rectification de la motivation de la décision (ATF 131 II 587 consid. 4.2.1 ; Jean MÉTRAL, ibidem ). Ainsi la partie recourante ne peut-elle en principe pas se prévaloir d’un intérêt digne de protection à la rectification du taux d’invalidité fixé dans la décision litigieuse, si la rectification n’entraîne aucun changement du droit à la rente. Demeurent réservées des circonstances particulières qui pourraient justifier une décision de constatation sur ce point (ATF 106 V 91 consid. 1 ; Jean MÉTRAL, ibidem ). Dans le cas d'une décision concernant une rente de l'assurance-invalidité en particulier, il peut éventuellement exister un intérêt digne de protection à la constatation immédiate d'un degré d'invalidité plus élevé, même si un tel degré n'a pas d'incidence sur le montant de la prestation AI (arrêt 9C_822/2011 du 3 février 2012 consid. 3.1 et les références). Le Tribunal fédéral a reconnu qu'un tel intérêt existe lorsqu'une personne assurée bénéficie de prestations accordées en vertu de la loi fédérale sur les prestations complémentaires à l’AVS et à l’AI du 6 octobre 2006 (loi sur les prestations complémentaires, LPC - RS 831.30). Le degré d'invalidité détermine en effet si et, le cas échéant, dans quelle proportion, un revenu hypothétique doit être pris en considération, conformément aux art. 11 a al. 1 LPC (dans sa teneur dès le 1 er janvier 2021) et 14 a al. 2 de l'ordonnance sur les prestations complémentaires à l’assurance-vieillesse, survivants et invalidité du 15 janvier 1971 (OPC-AVS/AI - RS 831.301) (arrêt du Tribunal fédéral 9C_822/2011 du 3 février 2012 consid. 3.2.3 et la référence), étant précisé que lorsqu'ils doivent fixer le revenu déterminant d'assurés partiellement invalides, les organes compétents en matière de prestations complémentaires doivent en principe s'en tenir à l'évaluation de l'invalidité par les organes de l'assurance-invalidité (ATF 107 V 202 consid. 2b). Un intérêt à faire constater le taux d'invalidité a par contre été nié dans des cas où les personnes assurées n'avaient pas droit à une rente d'invalidité, du fait qu'elles ne remplissaient pas les conditions d'assurances. Dans de telles situations, la question du taux d'invalidité devait dès lors faire l'objet d'un examen préliminaire par les organes compétents en matière de prestations complémentaires, dès que l'assuré aurait présenté sa demande (arrêts du Tribunal fédéral 9C_528/2010 du 11 juillet 2011 consid. 4.2 et 9C_126/2021 du 29 mars 2022 consid. 5). En l'occurrence, en application de l'art. 43 al. 1 LAI qui prévoit que si les veuves, veufs ou orphelins ont droit simultanément à une rente de survivants de l’assurance-vieillesse et survivants et à une rente de l’assurance-invalidité, ils bénéficieront d’une rente d’invalidité entière et que la rente la plus élevée leur sera versée, la recourante, veuve depuis novembre 2017, bénéficie précisément d'une rente entière de l'assurance-invalidité. Bien que le droit à une rente entière de l'assurance-invalidité lui ait été reconnu sur cette base et que son degré d'invalidité ne soit plus déterminant du point de vue de l'assurance-invalidité, elle dispose néanmoins d'un intérêt à ce que cette question soit revue par la chambre de céans. Il ressort, en effet, des pièces du dossier que la recourante bénéficie de prestations complémentaires à l'AVS et à l'AI versées par le service des prestations complémentaires (ci-après : le SPC), depuis à tout le moins 2021. S'il est certes vrai qu'un plan de calcul intégrant un revenu hypothétique ne figure pas au dossier (contrairement au cas tranché par le Tribunal fédéral dans l'arrêt 9C_822/2011 du 3 février 2012 consid. 3.2.3), il n'est pas impossible que le SPC se soit déjà prononcé en ce sens pour la période écoulée et il devra, quoi qu'il en soit, tenir compte d'un degré d'invalidité de 47% de la recourante, dès la prochaine révision entreprise, ce point ayant été tranché par l'intimé dans la décision querellée, de sorte qu'il lie le SPC. Par conséquent, le SPC devra prendre en compte un revenu de l’activité lucrative de la recourante correspondant, au moins, au montant maximum destiné à la couverture des besoins vitaux des personnes seules, selon l’art. 10 al. 1 let. a ch. 1 LPC, augmenté d’un tiers, conformément à l'art. 14 a al. 2 let. a OPC-AVS/AI. Au vu de ce qui précède, la chambre de céans retiendra que la recourante dispose d'un intérêt digne de protection à ce que son degré d'invalidité soit revu, cet élément influençant le montant de ses prestations complémentaires, ce qui lui confère la qualité pour recourir. Le recours doit par conséquent être déclaré recevable.</w:t>
      </w:r>
    </w:p>
    <w:p>
      <w:r>
        <w:rPr>
          <w:b/>
        </w:rPr>
        <w:t>E. 3</w:t>
      </w:r>
    </w:p>
    <w:p>
      <w:r>
        <w:t>Le litige porte sur le degré d'invalidité de la recourante, plus précisément sur la question de savoir jusqu'à quand elle était en incapacité totale de travail et à quel taux elle peut travailler, depuis que son état de santé s'est amélioré.</w:t>
      </w:r>
    </w:p>
    <w:p>
      <w:r>
        <w:rPr>
          <w:b/>
        </w:rPr>
        <w:t>E. 4</w:t>
      </w:r>
    </w:p>
    <w:p>
      <w:r>
        <w:t>Par renvoi de l'art. 1 al. 1 LAI, les dispositions de la LPGA s'appliquent à l'assurance-invalidité, à moins que la loi n'y déroge expressément.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la décision querellée a certes été rendue postérieurement au 1 er janvier 2022. Toutefois, il n’est pas contesté que le droit de la recourante à une rente d'invalidité est né antérieurement à cette date, de sorte que les dispositions légales applicables seront citées dans leur teneur en vigueur jusqu’au 31 décembre 2021.</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w:t>
      </w:r>
    </w:p>
    <w:p>
      <w:r>
        <w:rPr>
          <w:b/>
        </w:rPr>
        <w:t>E. 6.2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6.3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w:t>
      </w:r>
    </w:p>
    <w:p>
      <w:r>
        <w:t>En l'espèce, la recourante conteste les conclusions de l'intimé au sujet de sa capacité de travail, en se prévalant du point de vue de sa médecin traitante. Il sied de rappeler que l'intimé a retenu qu'elle avait été entièrement incapable de travailler jusqu'au 16 avril 2021, puis qu'elle disposait d'une capacité de travail entière dans une activité adaptée, se référant sur ce point aux conclusions du Dr C______, médecin d'arrondissement de la SUVA, qui l'avait examinée. Cependant, la division réadaptation de l'intimé a jugé que le rendement de la recourante était diminué de moitié dans une activité de conditionnement léger, seule activité adaptée, comme cela avait été mis en évidence à l'occasion du stage aux EPI.</w:t>
      </w:r>
    </w:p>
    <w:p>
      <w:r>
        <w:rPr>
          <w:b/>
        </w:rPr>
        <w:t>E. 8.1</w:t>
      </w:r>
    </w:p>
    <w:p>
      <w:r>
        <w:t>La Dre B______ ne se prononce pas directement sur les conclusions du Dr C______ ou du SMR et l'on ignore si elle a pris connaissance de leurs avis, en particulier des résultats de l'examen du 15 avril 2021. S'agissant de la date de reprise d'une activité lucrative, elle se borne par ailleurs à affirmer qu'elle avait délivré un certificat d'arrêt de travail à la recourante (qui ne figure pas au dossier) jusqu'à fin août 2021 et que l'inscription au chômage ne s'est faite qu'en septembre 2021, sans préciser quelles limitations existaient encore avant cette date qui n'auraient pas été prises en considération par le médecin d'arrondissement et qui auraient ensuite disparu. Dans cette mesure, la simple affirmation, non étayée, de ce que la recourante était encore incapable de travailler dans toute profession, n'est pas à même de mettre en doute la conclusion du SMR selon laquelle la recourante avait retrouvé une capacité de travail dans une activité adaptée dès avril 2021, posée après un examen clinique de la recourante effectué par un spécialiste en orthopédie. Concernant le taux de travail dans une activité adaptée, le rapport du 7 juin 2022 de la Dre B______ ne permet pas non plus de jeter un doute sur les conclusions du Dr C______ et du SMR. La médecin précitée résume, en effet, en grande partie les tentatives de reprise de travail de la recourante et les différents stages qu'elle a suivis, et rapporte les dires de celle-ci concernant sa capacité de travail. Elle se prononce de manière rétrospective, en fonction des taux de travail effectifs exercés par la recourante, alors que la question, du point de vue de l'assurance-invalidité, doit être analysée sous l'angle médico-théorique. Bien qu'elle affirme que, selon son avis, la recourante sera fonctionnelle et productive à moyen et long terme avec un travail fractionné en demi-journées, à savoir à un taux de 50%, elle ne fait cependant pas état d'éléments objectifs qui n'auraient pas été pris en compte par l'intimé pour définir les limitations fonctionnelles et le taux de travail exigible. S'agissant des répercussions d'un travail à plein temps sur l'état de santé psychique de la recourante, le SMR note par ailleurs, à juste titre, qu'un suivi psychiatrique spécialisé n'a pas été remis en place en 2021 ou 2022. Au vu des réponses de l'ancien psychiatre traitant de la recourante, il est ainsi permis de retenir, sous l'angle de la vraisemblance prépondérante, que la recourante ne souffrait d'aucun trouble psychique incapacitant depuis le second semestre 2018. Le SMR souligne, en outre, pertinemment que le suivi médical de l'AVC ischémique et le traitement pris visent à éviter toute récidive, mais n'entraînent aucun empêchement. Dans ces circonstances, il n'existe aucun élément concret permettant de mettre en doute les conclusions de l'intimé au sujet de la capacité de travail de la recourante dans une activité adaptée.</w:t>
      </w:r>
    </w:p>
    <w:p>
      <w:r>
        <w:rPr>
          <w:b/>
        </w:rPr>
        <w:t>E. 8.2</w:t>
      </w:r>
    </w:p>
    <w:p>
      <w:r>
        <w:t>Enfin, l'intimé a en définitive tenu compte d'une diminution de rendement de 50% de la recourante dans une activité légère de conditionnement au vu des conclusions du stage aux EPI, ce qui a ouvert le droit à une rente d'invalidité. La décision querellée ne s'oppose ainsi plus aux conclusions de la Dre B______, qui se réfère précisément à la productivité de la recourante et à la nécessité, pour celle-ci, de gérer sa douleur. On peut donc constater que les conclusions finales de l'intimé rejoignent celles exprimées par la médecin traitante. La décision entreprise apparaît par conséquent conforme au droit, de sorte que le degré d'invalidité de la recourante de 47% peut être confirmé, cette dernière n'élevant aucun grief au sujet de la comparaison des revenus effectuée par l'intimé et le calcul à cet égard apparaissant correct.</w:t>
      </w:r>
    </w:p>
    <w:p>
      <w:r>
        <w:rPr>
          <w:b/>
        </w:rPr>
        <w:t>E. 9.1</w:t>
      </w:r>
    </w:p>
    <w:p>
      <w:r>
        <w:t>Au vu de ce qui précède, le recours sera rejeté.</w:t>
      </w:r>
    </w:p>
    <w:p>
      <w:r>
        <w:rPr>
          <w:b/>
        </w:rPr>
        <w:t>E. 9.2</w:t>
      </w:r>
    </w:p>
    <w:p>
      <w:r>
        <w:t>Compte tenu de la situation financière et personnelle de la recourante, il sera renoncé au paiement d'un émolument, bien que la procédure ne soit pas gratuite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