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A/1074/2022 vom 25. August 2022</w:t>
      </w:r>
    </w:p>
    <w:p>
      <w:r>
        <w:t>GE Cour de justice, 2022-08-25, FR</w:t>
      </w:r>
    </w:p>
    <w:p>
      <w:r>
        <w:rPr>
          <w:b/>
        </w:rPr>
        <w:t xml:space="preserve">Quelle: </w:t>
      </w:r>
      <w:r>
        <w:t>https://mcp.opencaselaw.ch/entscheid/ge_gerichte_A_1074_2022</w:t>
      </w:r>
    </w:p>
    <w:p>
      <w:r>
        <w:t>FR: GE_GERICHTE A/1074/2022 du 25 août 2022</w:t>
      </w:r>
    </w:p>
    <w:p>
      <w:r>
        <w:t>IT: GE_GERICHTE A/1074/2022 del 25 agosto 2022</w:t>
      </w:r>
    </w:p>
    <w:p>
      <w:pPr>
        <w:pStyle w:val="Heading2"/>
      </w:pPr>
      <w:r>
        <w:t>Erwägungen</w:t>
      </w:r>
    </w:p>
    <w:p>
      <w:r>
        <w:rPr>
          <w:b/>
        </w:rPr>
        <w:t>E. 3</w:t>
      </w:r>
    </w:p>
    <w:p>
      <w:r>
        <w:t>Le litige porte sur le bien-fondé de la suspension de six jours du droit à l’indemnité de la recourante, pour absence non excusée à un entretien de conseil.![endif]&gt;![if&gt;</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Le Tribunal fédéral a jugé qu'était analogue au cas précité celui d'un assuré qui avait enregistré par inadvertance une date erronée dans son agenda électronique et auquel aucun autre manquement ne peut être reproché durant les trois délais-cadres dont il a bénéficié (arrêt 8C_157/2009 du 3 juillet 2009 consid. 4.2).</w:t>
      </w:r>
    </w:p>
    <w:p>
      <w:r>
        <w:rPr>
          <w:b/>
        </w:rPr>
        <w:t>E. 5</w:t>
      </w:r>
    </w:p>
    <w:p>
      <w:r>
        <w:t>En l'espèce, il n'est pas contesté que l'absence de la recourante à l'entretien-conseil était excusable, puisque dûment justifiée par un certificat médical, raison pour laquelle l'intimé est revenu sur sa position et a partiellement admis l'opposition. Une sanction a néanmoins été maintenue en raison du fait que l'intéressée n'a pas avisé son conseiller de son absence.![endif]&gt;![if&gt; Cela étant, la convocation par courriel à l'entretien du 1 er mars 2022 (devant se dérouler à 9h30) mentionnait expressément à l'assurée son obligation d'avertir en cas d'empêchement. Par courriel du 1 er mars 2022 expédié à 14:03, le conseiller de la recourante a informé celle-ci que son dossier avait été transmis au service juridique pour absence non justifiée et l'a invitée à s'expliquer. Ce à quoi l'intéressée a répondu à 14:05 : "Monsieur liser vos mails je me suis excuser" (sic). Force est cependant de constater que la recourante n'a pas été en mesure d'apporter la preuve qu'elle se serait excusée de son absence par courriel, comme elle l'a fait valoir pour la première fois au cours de la présente procédure. Quant à la migraine dont elle fait état, elle ne l'empêchait aucunement d'envoyer un court message à son conseiller pour l'aviser du fait qu'elle ne viendrait pas, ce qu'elle a d'ailleurs été en mesure de faire dans le courant de l'après-midi. En conséquence, il y a bel et bien eu manquement de la part de la recourante, en tant qu'elle a omis d'aviser l'ORP de son absence. La sanction était dès lors justifiée. Reste à en examiner la quotité.</w:t>
      </w:r>
    </w:p>
    <w:p>
      <w:r>
        <w:rPr>
          <w:b/>
        </w:rPr>
        <w:t>E. 6</w:t>
      </w:r>
    </w:p>
    <w:p>
      <w:r>
        <w:t>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![endif]&gt;![if&gt; Selon le barème (Bulletin LACI IC/D79) établi par le SECO, lorsque l'assuré ne se conforme pas à des instructions, la sanction se situe entre 3 et 10 jours s'il s'agit du premier manquement. Le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w:t>
      </w:r>
    </w:p>
    <w:p>
      <w:r>
        <w:rPr>
          <w:b/>
        </w:rPr>
        <w:t>E. 7</w:t>
      </w:r>
    </w:p>
    <w:p>
      <w:r>
        <w:t>En l'occurrence, force est de constater que la sanction appliquée par l'intimé correspond au minimum préconisé en cas de second manquement. Sa quotité n'apparaît donc pas injustifiée. ![endif]&gt;![if&gt; Il en résulte que la décision de sanction en cause n’apparaît pas critiquable. Le recours est rejeté.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