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A/1072/2022 vom 10. Oktober 2023</w:t>
      </w:r>
    </w:p>
    <w:p>
      <w:r>
        <w:t>GE Cour de justice, 2023-10-10, FR</w:t>
      </w:r>
    </w:p>
    <w:p>
      <w:r>
        <w:rPr>
          <w:b/>
        </w:rPr>
        <w:t xml:space="preserve">Quelle: </w:t>
      </w:r>
      <w:r>
        <w:t>https://mcp.opencaselaw.ch/entscheid/ge_gerichte_A_1072_2022</w:t>
      </w:r>
    </w:p>
    <w:p>
      <w:r>
        <w:t>FR: GE_GERICHTE A/1072/2022 du 10 octobre 2023</w:t>
      </w:r>
    </w:p>
    <w:p>
      <w:r>
        <w:t>IT: GE_GERICHTE A/1072/2022 del 10 ottobre 2023</w:t>
      </w:r>
    </w:p>
    <w:p>
      <w:pPr>
        <w:pStyle w:val="Heading2"/>
      </w:pPr>
      <w:r>
        <w:t>Erwägungen</w:t>
      </w:r>
    </w:p>
    <w:p>
      <w:r>
        <w:rPr>
          <w:b/>
        </w:rPr>
        <w:t>E. 2</w:t>
      </w:r>
    </w:p>
    <w:p>
      <w:r>
        <w:t>Les recourants concluent à l'audition des membres de la famille à l'exception de Lijana, demande déjà présentée devant le TAPI qui n'y a pas donné suite.![endif]&gt;![if&gt;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146 IV 218 consid. 2.3 ;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(ATF138 III 374 consid. 4.3.2 ; 131 I 153 consid. 3). En outre, il n'implique pas le droit à une audition orale (ATF 140 I 285 consid. 6.3.1).![endif]&gt;![if&gt;</w:t>
      </w:r>
    </w:p>
    <w:p>
      <w:r>
        <w:rPr>
          <w:b/>
        </w:rPr>
        <w:t>E. 2.2</w:t>
      </w:r>
    </w:p>
    <w:p>
      <w:r>
        <w:t>En l’espèce, les recourants ont eu l'occasion d'exposer leurs arguments et de produire des pièces, tant devant le TAPI que devant la chambre de céans. Ils n’expliquent pas en quoi l'audition sollicitée serait de nature à apporter des éléments supplémentaires utiles à l'issue du litige. Pour le surplus, le dossier apparaît complet et permet à la chambre de céans de statuer en connaissance de cause.![endif]&gt;![if&gt; Il ne sera donc pas donné suite à leur demande, et un éventuel grief de violation du droit d'être entendu par le TAPI sera en tant que de besoin écarté, pour les mêmes motifs.</w:t>
      </w:r>
    </w:p>
    <w:p>
      <w:r>
        <w:rPr>
          <w:b/>
        </w:rPr>
        <w:t>E. 3</w:t>
      </w:r>
    </w:p>
    <w:p>
      <w:r>
        <w:t>Les recourants concluent à la suspension de la présente procédure jusqu'à droit connu dans la procédure pénale actuellement en cours contre le père de famille.![endif]&gt;![if&gt;</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ATA/444/2023 du 26 avril 2023 consid. 3.1).![endif]&gt;![if&gt;</w:t>
      </w:r>
    </w:p>
    <w:p>
      <w:r>
        <w:rPr>
          <w:b/>
        </w:rPr>
        <w:t>E. 3.2</w:t>
      </w:r>
    </w:p>
    <w:p>
      <w:r>
        <w:t>En l'espèce, ainsi qu'il ressort des considérants qui suivent, il peut être fait abstraction de la procédure pénale en cours, si bien qu'il n'y a pas lieu d'ordonner la suspension de la procédure, celle-ci étant en état d'être jugée.![endif]&gt;![if&gt;</w:t>
      </w:r>
    </w:p>
    <w:p>
      <w:r>
        <w:rPr>
          <w:b/>
        </w:rPr>
        <w:t>E. 4</w:t>
      </w:r>
    </w:p>
    <w:p>
      <w:r>
        <w:t>L’objet du litige est la décision de l’autorité intimée du 4 mars 2022 refusant de transmettre le dossier des recourants au SEM avec un préavis favorable et prononçant leur renvoi de Suisse.![endif]&gt;![if&gt;</w:t>
      </w:r>
    </w:p>
    <w:p>
      <w:r>
        <w:rPr>
          <w:b/>
        </w:rPr>
        <w:t>E. 4.1</w:t>
      </w:r>
    </w:p>
    <w:p>
      <w:r>
        <w:t>Le 1 er janvier 2019 est entrée en vigueur une modification de la loi sur les étrangers du 16 décembre 2005 (LEtr), devenue la LEI, et de l'OASA. Conformément à l'art. 126 al. 1 LEI, les demandes déposées, comme en l'espèce, après le 1 er janvier 2019, sont régies par le nouveau droit (arrêt du Tribunal fédéral 2C_690/2021 du 18 mars 2022 consid. 4).![endif]&gt;![if&gt;</w:t>
      </w:r>
    </w:p>
    <w:p>
      <w:r>
        <w:rPr>
          <w:b/>
        </w:rPr>
        <w:t>E. 4.2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4.3</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mars 2023 [ci-après : directives LEI] ch. 5.6).![endif]&gt;![if&gt;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sous peine de récompenser l'obstination à violer la loi (ATF 130 II 39 consid. 3 ; arrêt du Tribunal fédéral 2D_13/2016 du 11 mars 2016 consid. 3.2.</w:t>
      </w:r>
    </w:p>
    <w:p>
      <w:r>
        <w:rPr>
          <w:b/>
        </w:rPr>
        <w:t>E. 4.5</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6c).![endif]&gt;![if&gt;</w:t>
      </w:r>
    </w:p>
    <w:p>
      <w:r>
        <w:rPr>
          <w:b/>
        </w:rPr>
        <w:t>E. 4.6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3e).![endif]&gt;![if&gt;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4.7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(arrêts du Tribunal fédéral 2A.679/2006 du 9 février 2007 consid. 3 et 2A.43/2006 du 31 mai 2006 consid. 3.1 ; arrêt du Tribunal administratif fédéral C-3592/2010 du 8 octobre 2012 consid. 6.2 ; ATA/600/2023 du 6 juin 2023 consid. 2.7).</w:t>
      </w:r>
    </w:p>
    <w:p>
      <w:r>
        <w:rPr>
          <w:b/>
        </w:rPr>
        <w:t>E. 4.8</w:t>
      </w:r>
    </w:p>
    <w:p>
      <w:r>
        <w:t>En l'espèce, le recourant réside en Suisse depuis 2015, son épouse et leur fils depuis fin 2017 et leur fille depuis sa naissance en novembre 2018. Pour ce qui est du recourant, même si cette période de huit ans – pour autant qu'une arrivée en Suisse en 2015 soit admise – peut être considérée comme assez longue, il convient de fortement la relativiser dans la mesure où ledit séjour a été entièrement effectué dans l'illégalité ou au bénéfice d'une tolérance des autorités de migration. Quant à la durée de séjour totale de la recourante et des enfants des recourants, elle ne dépasse pas six ans et leur séjour s'est aussi déroulé dans l'illégalité ou au bénéfice d'une simple tolérance des autorités.![endif]&gt;![if&gt; L'intégration professionnelle du recourant peut certes être qualifiée d'assez bonne, puisqu'il travaille depuis plusieurs années pour le même employeur et parle aussi couramment le français quand bien même il a eu besoin d'un interprète devant la police. Cela étant, s'il n'a pas de dettes, n'a jamais recouru à l’aide sociale et n'est en l'état pas condamné pénalement, ces éléments relèvent du comportement que l’on est en droit d’attendre de toute personne séjournant dans le pays (arrêts du Tribunal fédéral 2C_779/2016 du 13 septembre 2016 consid. 4.2 ; 2C_789/2014 du 20 février 2015 consid. 2.2.2 ; ATA/1171/2021 du 2 novembre 2021 consid. 8). La recourante n'est par contre pas insérée professionnellement. Il n'apparaît en outre pas que les recourants se soient créé des attaches particulièrement étroites avec la Suisse au point de rendre étranger leur pays d'origine. Ils ne prétendent pas s'être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 On ne peut donc pas retenir une intégration exceptionnelle en Suisse, ceci même sans tenir compte de la procédure pénale actuellement pendante à l'encontre du recourant. S'agissant de leurs possibilités de réintégration dans leur pays d'origine, les recourants sont nés au Kosovo, dont ils parlent la langue. Ils y ont vécu leur enfance, leur adolescence et une partie de leur vie d'adulte, le recourant étant arrivé en Suisse, dans l'hypothèse la plus favorable pour lui, à l'âge de 30 ans et la recourante de 29 ans. En toute hypothèse, les années que les recourants ont passées en Suisse ne les ont pas rendus étrangers à leur culture d’origine ni à leur langue maternelle. Les recourants sont tous deux jeunes et en bonne santé et, de retour dans leur pays d'origine, ils pourront faire valoir les connaissances linguistiques acquises en Suisse ainsi que, pour le recourant, son expérience professionnelle. À cet égard, il sied de relever qu'il ne s'agit pas de savoir si l'activité que le recourant a exercée s'est faite en faveur ou pour le bien de la Suisse, mais si la profession qu'il aurait apprise ou exercée en Suisse peut ou non être aussi exercée à l'étranger. Or, à l'évidence, l'activité de mécanicien automobile peut s'exercer ailleurs que sur le territoire helvétique, et notamment au Kosovo. La fille des recourants est certes née à Genève mais n'est âgée que de 4 ans et n'est apparemment pas encore scolarisée, si bien que son attachement est encore fortement lié à celui de ses parents. Quant au fils des recourants, il est certes, à bientôt treize ans et demi, entré dans l'adolescence et a passé presque six ans à Genève, mais on ne peut retenir que son retour au Kosovo – bien que certainement difficile –, constitue encore pour lui un véritable déracinement. S'agissant de l'opération qu'il a dû subir en raison d'une tumeur, celle-ci n'est pas maligne, et le suivi, a priori terminé, consistait en l'administration de médicaments parmi les plus courants et disponibles sans ordonnance. On ne saurait dès lors retenir que C______ remplit pour ce motif les conditions d'un cas d'extrême gravité.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w:t>
      </w:r>
    </w:p>
    <w:p>
      <w:r>
        <w:rPr>
          <w:b/>
        </w:rPr>
        <w:t>E. 5</w:t>
      </w:r>
    </w:p>
    <w:p>
      <w:r>
        <w:t>Reste à examiner la question du renvoi.![endif]&gt;![if&gt;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ATA/247/2023 du 14 mars 2023 consid. 6.1).![endif]&gt;![if&gt;</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5.3</w:t>
      </w:r>
    </w:p>
    <w:p>
      <w:r>
        <w:t>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 En particulier, comme déjà examiné, la situation médicale du fils des recourants ne remplit pas les conditions jurisprudentielles pour admettre que son renvoi serait inexigible en raison d'une atteinte à la santé.![endif]&gt;![if&gt;</w:t>
      </w:r>
    </w:p>
    <w:p>
      <w:r>
        <w:rPr>
          <w:b/>
        </w:rPr>
        <w:t>E. 6</w:t>
      </w:r>
    </w:p>
    <w:p>
      <w:r>
        <w:t>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