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A/1066/2016 vom 30. August 2016</w:t>
      </w:r>
    </w:p>
    <w:p>
      <w:r>
        <w:t>GE Cour de justice, 2016-08-30, FR</w:t>
      </w:r>
    </w:p>
    <w:p>
      <w:r>
        <w:rPr>
          <w:b/>
        </w:rPr>
        <w:t xml:space="preserve">Quelle: </w:t>
      </w:r>
      <w:r>
        <w:t>https://mcp.opencaselaw.ch/entscheid/ge_gerichte_A_1066_2016</w:t>
      </w:r>
    </w:p>
    <w:p>
      <w:r>
        <w:t>FR: GE_GERICHTE A/1066/2016 du 30 août 2016</w:t>
      </w:r>
    </w:p>
    <w:p>
      <w:r>
        <w:t>IT: GE_GERICHTE A/1066/2016 del 30 agosto 2016</w:t>
      </w:r>
    </w:p>
    <w:p>
      <w:pPr>
        <w:pStyle w:val="Heading2"/>
      </w:pPr>
      <w:r>
        <w:t>Erwägungen</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Selon l’art. 38 al. 4 let. a LPGA, applicable via par renvoi de l’art. 60 al. 2 LPGA, les délais en jours ou en mois fixés par la loi ou par l’autorité ne courent pas du 7 ème jour avant Pâques au 7 ème jour après Pâques inclusivement. Lorsque le délai échoit un samedi, un dimanche ou un jour férié selon le droit fédéral ou cantonal, son terme est reporté au premier jour qui suit. Le droit cantonal déterminant est celui du canton ou la partie ou son mandataire a son domicile ou son siège (art. 38 al. 3 LPGA). Suite à la notification de la décision querellée le 24 février 2016, le délai de recours a commencé à courir le lendemain (art. 38 al. 1 LPGA). Suspendu du 20 mars au 3 avril 2016, il est arrivé à échéance le samedi 16 avril 2016. Posté le 8 avril 2016, le recours a été interjeté en temps utile. Respectant également les formes prescrites par la loi, il est recevable (art. 56 à 61 LPGA).</w:t>
      </w:r>
    </w:p>
    <w:p>
      <w:r>
        <w:rPr>
          <w:b/>
        </w:rPr>
        <w:t>E. 4</w:t>
      </w:r>
    </w:p>
    <w:p>
      <w:r>
        <w:t>À titre préliminaire, il y a lieu de déterminer l’objet du litige.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b. Toujours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En outre, la question qui excède l’objet de la contestation doit être en état d’être jugée et le rapport juridique externe à l’objet de la contestation ne doit pas avoir fait l’objet d’une décision passée en force. Enfin, il faut que tous les droits procéduraux des parties soient respectés (Ulrich MEYER, Isabel VON ZWEHL, L’objet du litige en procédure de droit administratif fédéral, in Mélanges Pierre Moor, p. 446). c. En l’espèce, la décision querellée aborde la révision des prestations allouées au recourant uniquement sous l’angle de la révision procédurale (art. 53 al. 1 LPGA) et de la reconsidération (art. 53 al. 2 LPGA) de la décision du 9 octobre 2014. L’intimée a certes pris position au sujet d’une révision au sens de l’art. 17 al. 1 LPGA avant les décisions du 18 décembre 2015 et du 19 février 2016, mais c’était de manière informelle en date du 22 mai 2015. Il n’existe donc pas à ce jour de décision formelle (art. 49 LPGA) se prononçant sur la question d’une révision des prestations pour l’avenir. Il ressort toutefois de l’appréciation du Dr H______ du 27 octobre 2015, sur laquelle se fonde la décision querellée, que ce médecin a été recontacté par la SUVA en vue « d’apprécier si de nouveaux faits médicaux ont été découverts et s’ils sont en relation causale avec l’accident survenu en 2009 au degré de la vraisemblance prépondérante » et qu’il est parvenu à la conclusion que « les documents présentés ce jour ne [mettaient] en évidence aucun fait médical nouveau susceptible de remettre en question les appréciations neurologiques précédentes » (cf. pièce 205 p. 1 et 4 intimée). Dans la mesure où les documents soumis au Dr H______ sont datés du 1 er septembre 2014 au 23 septembre 2015, la situation –caractérisée par l’absence de fait nouveau aux dires de ce médecin – vaut non seulement pour l’époque de la décision du 9 octobre 2014, mais aussi pour la période subséquente. Il existe partant un état de fait commun aux deux types de révision. On relève par ailleurs que l’intimée s’est prononcée sur une éventuelle révision au sens de l’art. 17 al. 1 LPGA à deux reprises au cours de la procédure (réponse 3 mai 2016 et duplique du 13 juillet 2016) et qu’il ressort des écritures du recourant que celui-ci invite la chambre de céans à analyser le cas principalement sous l’angle de cette dernière disposition légale nonobstant l’absence de décision formelle préalable. Dans ces circonstances, il convient, pour des motifs d’économie de procédure, d’élargir l’objet de la contestation à une éventuelle révision au sens de l’art. 17 al. 1 LPGA. En conséquence, le litige porte sur le point de savoir si le recourant peut prétendre à la révision (au sens des art. 17 al. 1 ou 53 al. 1 LPGA) des prestations allouées par l’intimée par décision du 9 octobre 2014, entrée en force (rente d’invalidité fondée sur une incapacité de gain de 30% et indemnité pour atteinte à l’intégrité fondée sur un taux de 35%).</w:t>
      </w:r>
    </w:p>
    <w:p>
      <w:r>
        <w:rPr>
          <w:b/>
        </w:rPr>
        <w:t>E. 5</w:t>
      </w:r>
    </w:p>
    <w:p>
      <w:r>
        <w:t>a. La rente d'invalidité (art. 18 al. 1 LAA) peut être révisée à la suite d'une modification notable du taux d'invalidité (art. 17 al. 1 LPGA). Cette modification peut concerner aussi bien l'état de santé que les conséquences économiques d'un état de santé demeuré en soi inchangé (ATF 130 V 343 consid. 3.5). Pour être prise en considération, une péjoration de l'état de santé doit être en relation de causalité avec l'événement assuré (arrêt du Tribunal fédéral 8C_803/2012 du 15 octobre 2013 consid. 2; arrêt du Tribunal fédéral des assurances U 66/94 du 4 novembre 1994 consid. 3b). Tout changement important des circonstances propre à influencer le degré d'invalidité, et donc le droit à la rente, peut motiver une révision.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(ATF 130 V 343 consid. 3.5). En outre, la révision de l'indemnité pour atteinte à l'intégrité n'est possible qu'exceptionnellement, si l'aggravation est importante et n'était pas prévisible (art. 36 al. 4, 2ème phrase, OLAA). b. Par ailleurs,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En outre, l'assureur peut revenir sur les décisions ou les décisions sur opposition formellement passées en force lorsqu'elles sont manifestement erronées et que leur rectification revêt une importance notable (art. 53 al. 2 LPGA).</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3b).![endif]&gt;![if&gt;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Selon la jurisprudence, il importe, dans les cas de révision au sens de l’art. 17 al. 1 LPGA, que toute appréciation médicale qui diverge des avis médicaux précédents indique de manière suffisamment claire dans quelle mesure une modification de l’état de santé s’est produite depuis la dernière décision. La valeur probante d’un rapport médical produit en vue d’une révision du droit aux prestations dépend essentiellement du point de savoir s’il se rapporte de manière suffisamment étroite à l’objet de la preuve, soit l’existence d’une modification significative de l’état de fait. Lorsqu’une telle modification n’est pas établie au degré de la vraisemblance prépondérante (ATF 129 V 177 consid. 3.1), le principe du fardeau de la preuve commande de s’en tenir au statu quo (arrêt du Tribunal fédéral 8C_481/2013 du 7 novembre 2013 consid. 2.3 et 2.4, et les arrêts cités).</w:t>
      </w:r>
    </w:p>
    <w:p>
      <w:r>
        <w:rPr>
          <w:b/>
        </w:rPr>
        <w:t>E. 7</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Si une révision des prestations a été demandée en application de l’art. 17 al. 1 LPGA, cela implique que l’assureur se penche sur l’évolution de l’état de santé jusqu’à la prise d’une décision sur opposition. Il incombe ainsi à l’assureur de procéder aux investigations nécessaires pour la période concernée (cf. Ueli KIESER, ATSG-Kommentar, 3 ème éd. 2015 ad art. 43 LPGA, p. 572 n. 21 et la référence à un arrêt cantonal publié in SVR 2006 IV n° 17 dans lequel les juges avaient estimé que le principe inquisitoire avait été violé en tant que l’office de l’assurance invalidité s’était fondé sur une expertise vieille de 15 ans malgré la mise en évidence d’un substrat médical nouveau par le médecin traitant généraliste de l’assuré).</w:t>
      </w:r>
    </w:p>
    <w:p>
      <w:r>
        <w:rPr>
          <w:b/>
        </w:rPr>
        <w:t>E. 8</w:t>
      </w:r>
    </w:p>
    <w:p>
      <w:r>
        <w:t>En l’espèce, le recourant soutient qu’une demande de révision en 2015 sous l’angle de l’art. 17 LPGA n’est de loin pas inopportune. À l’appui de cette assertion, il se réfère à l’entretien du 23 septembre 2015 lors duquel la représentante de l’employeur avait déclaré que de l’avis du corps médical des HUG, les troubles consécutifs à l’accident – troubles mnésiques, céphalées, cervicalgies et lombalgies – s’étaient progressivement amplifiés pour se dégrader depuis environ une, voire deux années. Il ajoute que le status neurologique établi par la Dresse K______ le 22 janvier 2015 relèverait des troubles mnésiques très importants qui excèderaient une atteinte modérée à moyenne au sens de la table 8 SUVA et qu’il manquerait notamment toute forme d’appréciation psychiatrique, d’où la nécessité de mettre sur pied une évaluation médicale pluridisciplinaire afin de déterminer si une révision sous forme d’une augmentation de la rente LAA est indiquée. Le raisonnement du recourant ne saurait être suivi. À l’examen des rapports médicaux censés corroborer l’aggravation alléguée, aucun de ceux-ci n’indique en effet que les conséquences de l’accident du 7 mars 2009 auraient empiré, ni même qu’une aggravation de l’état de santé se serait produite depuis la décision du 9 octobre 2014. Dans ses certificats du 22 janvier 2015 et 20 mars 2015, rigoureusement identiques au demeurant (pièces 158 et 198 intimée), la Dresse K______ indique qu’à la suite de l’accident du 9 mars (recte : 7 mars) 2009, le recourant souffre de troubles mnésiques, de céphalées chroniques, de cervicalgies de lombalgies et d’une hémochromatose hétérozygote. Or, force est de constater que les affections en question faisaient déjà partie du tableau clinique pris en compte au moment de la décision du 9 octobre 2014 (cf. bilan neuropsychologique de la doctoresse M______ du 30 septembre 2013 et expertise neurologique des docteurs N______ et O______ du 16 octobre 2013 ; pièces 111 et 114 intimée) à l’exception de la dernière pathologie citée par la Dresse K______. Ce médecin traitant n’indique toutefois pas en quoi les quatre premiers troubles qu’elle cite auraient évolué depuis le 9 octobre 2014. Quant à l’hémochromatose, le Dr H______ souligne clairement dans son appréciation du 27 octobre 2015 qu’il s’agit d’un trouble métabolique général qui est de toute évidence étranger à l’accident. Ainsi, la seule atteinte nouvelle mentionnée par le médecin traitant n’est pas pertinente, car dépourvue de lien de causalité avec l’accident. On mentionnera également que les Drs I______ et J______ ne font pas non plus état d’une éventuelle aggravation des troubles constatés, ni de faits nouveaux dans leur rapport du 11 novembre 2014 (cf. rapport d’expertise neurologique du 16 octobre 2013 ; pièce 114, p. 3 intimée ainsi que l’appréciation du Dr H______ du 27 octobre 2015). Le recourant ne saurait non plus être suivi en tant qu’il reproche l’absence de toute appréciation psychiatrique à l’intimée. Il ressort au contraire des pièces que le dossier comporte une telle appréciation remontant au 12 juin 2013, dans laquelle le docteur L______, psychiatre conseil de l’intimée, considère en substance que la situation n’a pas évolué par rapport à sa précédente appréciation du 7 octobre 2009 dans laquelle il faisait état d’un trouble de l’adaptation avec des caractéristiques émotionnelles mixtes anxieuses et dépressives, soit « relativement peu de choses sur le plan psychiatrique », le tableau clinique étant surtout marqué par une atteinte neuropsychologique majeure pour laquelle « il serait peut-être utile de demander un avis spécialisé au neurologue de la SUVA » (pièce 95 intimée). En outre, le recourant ne produit aucun rapport médical attestant d’une quelconque aggravation de la situation sur le plan psychiatrique. On relèvera en dernier lieu qu’en envisageant le cas sous l’angle des conséquences économiques d’un état de santé demeuré en soi inchangé, il n’existe pas non plus de modification significative depuis la décision du 9 octobre 2014 puisque l’arrêt de travail à 100% dans la profession habituelle remonte déjà au 27 janvier 2014. Le fait que l’intimée ne l’ait appris qu’en date du 13 novembre 2014 n’est pas pertinent sous l’angle de l’art. 17 al. 1 LPGA dès lors que cette modification de la capacité de gain existait déjà au moment de ladite décision. En revanche, la prise de connaissance a posteriori de cette modification préexistante doit être examinée sous l’angle de l’art. 53 al. 1 LPGA (cf. Ueli KIESER, op. cit. n. 23 ad art. 53 LPGA et ci-dessous : consid. 9 et 10). Cela étant, il convient, sans qu’il soit nécessaire d’ordonner une instruction complémentaire – comme le demande le recourant – de se fonder sur les conclusions dûment motivées du Dr H______. Bien que celui-ci ait considéré dans un premier temps, soit le 7 mai 2015, qu’il ne lui était pas possible de se prononcer sur l’existence d’un lien de causalité entre l’accident du 7 mars 2009 et les troubles rapportés, ce médecin a ensuite exposé clairement que les rapports versés au dossier depuis le 7 mai 2015 n’attestaient d’aucun fait nouveau important en relation de causalité avec l’accident du 7 mars 2009. Ainsi, l’existence d’une aggravation de l’incapacité de travail – ou de gain – découlant d’une atteinte à la santé en relation avec cet accident doit être niée. Partant, il n’y a pas non plus matière à réviser l’indemnité pour atteinte à l’intégrité, étant rappelé que la révision de cette indemnité n'est possible que si l'aggravation est importante et n'était pas prévisible (art. 36 al. 4, 2ème phrase, OLAA).</w:t>
      </w:r>
    </w:p>
    <w:p>
      <w:r>
        <w:rPr>
          <w:b/>
        </w:rPr>
        <w:t>E. 9</w:t>
      </w:r>
    </w:p>
    <w:p>
      <w:r>
        <w:t>Reste à examiner s’il y a lieu de procéder à une révision (procédurale) de la décision du 9 octobre 2014.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du Tribunal fédéral 8C_868/2010 du 6 septembre 2011 consid. 3.2).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(arrêt du Tribunal fédéral 8C_368/2013 du 25 février 2014 consid. 5.1 et les références citées).</w:t>
      </w:r>
    </w:p>
    <w:p>
      <w:r>
        <w:rPr>
          <w:b/>
        </w:rPr>
        <w:t>E. 10</w:t>
      </w:r>
    </w:p>
    <w:p>
      <w:r>
        <w:t>En l’espèce, dans la mesure où les rapports médicaux postérieurs à la décision du 9 octobre 2014 (rapports des Drs K______, d’une part, I______ et J______, d’autre part) n’attestent, au vu de ce qui précède, aucune aggravation de l’état de santé du recourant qui soit en relation de causalité avec l’accident, les avis de ces médecins ne contiennent aucun fait nouveau de nature à modifier l’état de fait qui est à la base de cette décision (pour un cas et un raisonnement similaire : cf. l’arrêt 8C_368/2013 précité consid. 5.2). Quant au rapport du Dr E______ du 1 er juillet 2014, lequel mentionne que le recourant souffre de troubles neuropsychologiques et neurologiques, d’une asthénie chronique ainsi que d’un état dépressif apparus suite à l’accident de la voie publique du 7 mars 2009, il ne fait état d’aucun fait nouveau inconnu du recourant ou de l’intimé au moment de la décision du 9 octobre 2014, pas plus qu’il n’apporte la preuve d’un fait dont l’existence n’avait pu être prouvée à cette époque. En effet, les troubles mentionnés par le Dr E______ ressortent déjà des divers rapports sur lesquels la décision du 9 octobre 2014 se fonde. Par ailleurs, en tant que certains médecins – notamment les Drs E______ et K______ (pièce 156 p. 4-22 intimée) – attestent d’une incapacité de travail totale depuis le 27 janvier 2014, ils donnent une appréciation différente de la capacité de travail du recourant, ce qui ne suffit pas cependant pour justifier la révision de la décision d’octroi de la rente et de l’indemnité pour atteinte à l’intégrité en vertu de l’art. 53 al. 1 LPGA. On signalera en dernier lieu que même si l’intimée n’avait éventuellement pas connaissance de la diminution de la capacité de gain du recourant au moment de la décision du 9 octobre 2014, le recourant avait lui-même connaissance de ce fait depuis le 27 janvier 2014, de sorte qu’il ne tenait qu’à lui d’en tirer argument en temps utile. Enfin, les divers avis médicaux produits par le recourant à l’appui de sa demande de révision/reconsidération ne font pas non plus apparaître la décision du 9 octobre 2014 comme manifestement erronée au sens de l’art. 53 al. 2 LPGA. Quoi qu’il en soit, la chambre de céans ne saurait contraindre l’intimée à reconsidérer cette décision (arrêt du Tribunal fédéral 9C_901/2007 du 8 octobre 2008 consid. 3 non publié à l’ATF 134 V 401 ).</w:t>
      </w:r>
    </w:p>
    <w:p>
      <w:r>
        <w:rPr>
          <w:b/>
        </w:rPr>
        <w:t>E. 11</w:t>
      </w:r>
    </w:p>
    <w:p>
      <w:r>
        <w:t>Compte tenu de ce qui précède, le recours doit être rejeté. Le recourant, qui succombe, n’a pas droit à des dépens (art. 61 let. g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