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A/1065/2024 vom 19. November 2024</w:t>
      </w:r>
    </w:p>
    <w:p>
      <w:r>
        <w:t>GE Cour de justice, 2024-11-19, FR</w:t>
      </w:r>
    </w:p>
    <w:p>
      <w:r>
        <w:rPr>
          <w:b/>
        </w:rPr>
        <w:t xml:space="preserve">Quelle: </w:t>
      </w:r>
      <w:r>
        <w:t>https://mcp.opencaselaw.ch/entscheid/ge_gerichte_A_1065_2024</w:t>
      </w:r>
    </w:p>
    <w:p>
      <w:r>
        <w:t>FR: GE_GERICHTE A/1065/2024 du 19 novembre 2024</w:t>
      </w:r>
    </w:p>
    <w:p>
      <w:r>
        <w:t>IT: GE_GERICHTE A/1065/2024 del 19 novembre 2024</w:t>
      </w:r>
    </w:p>
    <w:p>
      <w:pPr>
        <w:pStyle w:val="Heading2"/>
      </w:pPr>
      <w:r>
        <w:t>Regeste</w:t>
      </w:r>
    </w:p>
    <w:p>
      <w:r>
        <w:t>CIRCULATION ROUTIÈRE(DROIT DE LA CIRCULATION ROUTIÈRE);LOI FÉDÉRALE SUR LA CIRCULATION ROUTIÈRE;RÈGLE DE LA CIRCULATION;VITESSE;EXCÈS DE VITESSE;PERMIS DE CONDUIRE;RECONNAISSANCE DU PERMIS;CONDUITE MALGRÉ UNE INCAPACITÉ;INTERDICTION DE CONDUIRE;SANCTION ADMINISTRATIVE;MESURE(DROIT PÉNAL);GRAVITÉ DE LA FAUTE;FAUTE GRAVE;NÉCESSITÉ;PROFESSION;DROIT D'ÊTRE ENTENDU;POUVOIR D'APPRÉCIATION;PROPORTIONNALITÉ | Confirmation de l'interdiction signifiée à un conducteur de faire usage de son permis de conduire étranger sur le territoire suisse pour une durée de six mois, en raison de la commission de deux infractions graves (excès de vitesse) en un jour. Excès de vitesse important (à la limite du délit de chauffard) et faute grave du recourant, qui conduisait selon lui dans un état de « confusion généralisé ». Aucune circonstance ne permet de considérer le cas comme de moindre gravité ; l’absence d’antécédents n’est pas de nature à diminuer l’importance de la faute. Besoin professionnel du recourant de disposer d’un véhicule automobile à relativiser. Rejet du recours. | Cst.5.al2; Cst.29.al2; OAC.45.al1; LCR.16.al3; LCR.16c.al1.leta; LCR.16c.al2.leta; LCR.31; CP.49.al1; LPA.18</w:t>
      </w:r>
    </w:p>
    <w:p>
      <w:pPr>
        <w:pStyle w:val="Heading2"/>
      </w:pPr>
      <w:r>
        <w:t>Erwägungen</w:t>
      </w:r>
    </w:p>
    <w:p>
      <w:r>
        <w:rPr>
          <w:b/>
        </w:rPr>
        <w:t>E. 2</w:t>
      </w:r>
    </w:p>
    <w:p>
      <w:r>
        <w:t>Le litige porte sur le bien-fondé de l'interdiction signifiée au recourant de faire usage de son permis de conduire étranger sur le territoire suisse pour une durée de six mois.</w:t>
      </w:r>
    </w:p>
    <w:p>
      <w:r>
        <w:rPr>
          <w:b/>
        </w:rPr>
        <w:t>E. 3</w:t>
      </w:r>
    </w:p>
    <w:p>
      <w:r>
        <w:t>Le recourant conclut à sa comparution personnelle, à l'audition de témoins ainsi qu'à la tenue d'un transport sur place.</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 La procédure administrative est en principe écrite. Toutefois si le règlement et la nature de l’affaire le requièrent, l’autorité peut procéder oralement (art. 18 LPA).</w:t>
      </w:r>
    </w:p>
    <w:p>
      <w:r>
        <w:rPr>
          <w:b/>
        </w:rPr>
        <w:t>E. 3.2</w:t>
      </w:r>
    </w:p>
    <w:p>
      <w:r>
        <w:t>En l'espèce, le recourant soutient que son audition ainsi que celles de témoins permettraient d'obtenir toutes les informations utiles en lien avec les circonstances psychologiques particulières dans lesquelles il se serait trouvé le 10 septembre 2023. Or, d'une part, il s'est déjà exprimé par écrit sur cette question, que ce soit devant l'OCV, le TAPI ou la chambre de céans. D'autre part, à supposer qu'il considère, malgré cela, que des informations relatives à son état psychologique manqueraient, il n'indique pas pour quelle raison ces informations n'auraient pas pu être transmises par écrit. Son audition n'apparaît donc pas nécessaire ni même utile et ne sera ainsi, par appréciation anticipée des preuves, pas ordonnée, la chambre de céans estimant disposer de toutes les informations pertinentes sur cette problématique (pour autant qu'elle soit pertinente). Pour les mêmes raisons, les témoignages sollicités ne seront pas non plus ordonnés, étant au demeurant précisé que le recourant n'a désigné aucun témoin. La typologie des lieux où les infractions ont été commises ainsi que les conditions météorologiques et de circulation ressortent notamment du rapport de police établi le 7 novembre 2023 et ne sont pas contestées. En outre, les données disponibles sur le système d’information du territoire à Genève (ci-après : SITG) permettent de visualiser les caractéristiques essentielles des lieux de commission des infractions. Un transport sur place n'apparaît donc pas utile et ne sera pas conséquent pas non plus ordonné. Par ailleurs, le recourant s'est vu offrir la possibilité de faire valoir ses arguments par écrit. Il s'est ainsi exprimé de manière circonstanciée sur l'objet du litige et a produit les pièces auxquelles il s’est référé dans ses écritures. La chambre de céans dispose ainsi d'un dossier complet qui lui permet de statuer en connaissance de cause. Il ne sera donc pas procédé aux actes d'instruction sollicités.</w:t>
      </w:r>
    </w:p>
    <w:p>
      <w:r>
        <w:rPr>
          <w:b/>
        </w:rPr>
        <w:t>E. 4</w:t>
      </w:r>
    </w:p>
    <w:p>
      <w:r>
        <w:t>Le recourant se plaint de la durée de l'interdiction qui lui a été faite de faire usage de son permis de conduire étranger sur le territoire suisse, qu'il estime disproportionnée.</w:t>
      </w:r>
    </w:p>
    <w:p>
      <w:r>
        <w:rPr>
          <w:b/>
        </w:rPr>
        <w:t>E. 4.1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w:t>
      </w:r>
    </w:p>
    <w:p>
      <w:r>
        <w:rPr>
          <w:b/>
        </w:rPr>
        <w:t>E. 4.2</w:t>
      </w:r>
    </w:p>
    <w:p>
      <w:r>
        <w:t>Conformément à l'art. 42 par. 1 de la Convention sur la circulation routière du 8 novembre 1968 (RS 0.741.10 ; ratifiée tant par l'Allemagne que par la Suisse),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L’usage d’un permis étranger peut être interdit en vertu des dispositions qui s’appliquent au retrait du permis de conduire suisse (art. 45 al. 1 1 ère phr. de l’ordonnance réglant l’admission à la circulation routière du 27 octobre 1976 - OAC - RS 741.51). Le retrait d'admonestation du permis de conduire est une mesure administrative ordonnée dans l'intérêt de la sécurité routière, qui vise à amender le conducteur fautif et à éviter les récidives (ATF 133 II 331 consid. 4.2 et les arrêts cités ; arrêt du Tribunal fédéral 9C_372/2008 du 13 février 2009 consid. 3.1).</w:t>
      </w:r>
    </w:p>
    <w:p>
      <w:r>
        <w:rPr>
          <w:b/>
        </w:rPr>
        <w:t>E. 4.3</w:t>
      </w:r>
    </w:p>
    <w:p>
      <w:r>
        <w:t>Selon l'art. 16 de la loi fédérale sur la circulation routière du 19 décembre 1958 (LCR - RS 741.01), les permis de conduire et les autorisations seront retirés lorsque l’autorité constate que les conditions légales de leur délivrance ne sont pas ou ne sont plus remplies (al. 1). Une infraction aux prescriptions sur la circulation routière entraîne le retrait du permis de conduire ou un avertissement lorsque la procédure prévue par la loi fédérale sur les amendes d’ordre du 24 juin 1970 (LAO - RS 741.03) n’est pas applicable (al. 2). Les infractions à la LCR sont réparties en fonction de leur gravité en trois catégories distinctes, assorties de mesures administratives minimales : les infractions légères, moyennement graves et graves (art. 16a à 16c LCR). Pour déterminer la durée du retrait d’admonestation, la loi distingue ainsi entre ces trois catégories d'infractions. Les principes relatifs aux retraits de permis de conduire d'admonestation sont, beaucoup plus que sous l'ancien droit, fonction de la mise en danger créée par l'infraction ( ATA/1018/2024 du 27 août 2024 consid. 3.2 et les arrêts cités).</w:t>
      </w:r>
    </w:p>
    <w:p>
      <w:r>
        <w:rPr>
          <w:b/>
        </w:rPr>
        <w:t>E. 4.3.1</w:t>
      </w:r>
    </w:p>
    <w:p>
      <w:r>
        <w:t>Selon l'art. 16c al. 1 let. a LCR, commet une infraction grave la personne qui, notamment, en violant gravement les règles de la circulation, met sérieusement en danger la sécurité d’autrui ou en prend le risque. De jurisprudence constante, la qualification du cas grave au sens de cette disposition correspond à celle de l’art. 90 al. 2 LCR (ATF 132 II 234 consid. 3 ; arrêt du Tribunal fédéral 1C_402/2015 du 10 février 2016 consid. 2.1). Dans le domaine des excès de vitesse, la jurisprudence a été amenée à fixer des règles précises afin d'assurer l'égalité de traitement entre conducteurs.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124 II 259 consid. 2b). Cette jurisprudence ne dispense toutefois pas l'autorité de tout examen des circonstances du cas concret ; d'une part, l'importance de la mise en danger et celle de la faute doivent être appréciées, afin de déterminer quelle doit être la durée du retrait (art. 16 al. 3 LCR) ; d'autre part, il y a lieu de rechercher si des circonstances particulières (par exemple la configuration des lieux, la densité du trafic, les conditions de visibilité ou la réputation de l'automobiliste [arrêt du Tribunal fédéral 6A.123/2001 du 19 mars 2002 consid. 3b])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(arrêts du Tribunal fédéral 1C_125/2016 du 25 octobre 2016 consid. 3.1 ; 1C_87/2016 du 13 juin 2016 consid. 2.1 ; 6B_464/2015 du 8 février 2016 consid. 5.1 et références citées).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(ATF 123 II 106 consid. 2c), une semi-autoroute (ATF 122 IV 173 consid. 2d), une sortie d'autoroute (ATF 128 II 131 consid. 2b), en dehors des localités (ATF 121 IV 230 consid. 2c) ou à l'intérieur des localités (ATF 121 II 127 consid. 3c ; arrêt du Tribunal fédéral 6A.81/2006 du 22 décembre 2006 consid. 4.3). Ils n'ont pas été fixés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(arrêt du Tribunal fédéral 1C_83/2008 du 16 octobre 2008 consid. 2.5).</w:t>
      </w:r>
    </w:p>
    <w:p>
      <w:r>
        <w:rPr>
          <w:b/>
        </w:rPr>
        <w:t>E. 4.3.2</w:t>
      </w:r>
    </w:p>
    <w:p>
      <w:r>
        <w:t>Après une infraction grave, le permis d’élève conducteur ou le permis de conduire est retiré pour trois mois au minimum (art. 16c al. 2 let. a LCR).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(art. 16 al. 3 LCR). Conformément à l'art. 16 al. 3 LCR, la durée minimale du retrait ne peut être réduite. Selon la jurisprudence du Tribunal fédéral, cette dernière règle s’impose à l'autorité et aux tribunaux sans dérogation possible, même pour tenir compte de besoins professionnels particuliers du conducteur. Ainsi, si des circonstances telles que la gravité de la faute, les antécédents ou la nécessité professionnelle de conduire un véhicule automobile doivent être prises en compte pour fixer la durée du retrait, la durée minimale prescrite par la loi ne peut pas être réduite. En outre, aucun critère d'appréciation, fût-il absolu, ne donne droit à une limitation du retrait à la durée minimum légale (ATF 135 II 334 consid. 2.2 ; 132 II 234 consid. 2.3 ; arrêt du Tribunal fédéral 1C_188/2010 du 6 septembre 2010 consid. 2.1 ; ATA/1173/2024 du 8 octobre 2024 consid. 4.1 et les références citées). 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tout à fait insoutenable (ATF 128 II 173 consid. 4b in JdT 2002 I 593, et la jurisprudence citée).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4.4</w:t>
      </w:r>
    </w:p>
    <w:p>
      <w:r>
        <w:t>Le juge administratif doit examiner la situation professionnelle de l'intéressé et déterminer si la mesure dont il est susceptible de faire l'objet serait, compte tenu des besoins professionnels, particulièrement rigoureuse (ATF 123 II 572 consid. 2c ; ATA/254/2020 du 3 mars 2020 consid. 7a et les arrêts cités).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 la gradation est au contraire continue. La détermination du degré de sensibilité à la sanction ne permet pas cependant, à elle seule, de décider si et dans quelle mesure une réduction se justifie. Une telle question doit être tranchée au regard de toutes les circonstances du cas (ATF 128 II 285 consid. 2.4 ; 123 II 572 consid. 2c ; arrêt du Tribunal fédéral 1C_204/2008 du 25 novembre 2008 consid. 3.3.1).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La chambre de céans s'est prononcée à plusieurs reprises sur la question des besoins professionnels d'un conducteur dont le permis de conduire a été retiré.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 ATA/5/2007 du 9 janvier 2007 ; ATA/39/2006 du 24 janvier 2006).</w:t>
      </w:r>
    </w:p>
    <w:p>
      <w:r>
        <w:rPr>
          <w:b/>
        </w:rPr>
        <w:t>E. 4.5</w:t>
      </w:r>
    </w:p>
    <w:p>
      <w:r>
        <w:t>Aux termes de l'art. 31 LCR, le conducteur devra rester constamment maître de son véhicule de façon à pouvoir se conformer aux devoirs de la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 conduite en état d’incapacité constitue pour le moins une mise en danger abstraite accrue grave de la sécurité routière (ATF 130 IV 32 consid. 5 ; Cédric MIZEL, Droit et pratique illustrée du retrait du permis de conduire, 2015, p. 499). L'adage nemo auditur suam (propriam) turpitudinem allegans (nul ne peut se prévaloir de sa propre faute) concrétise le principe constitutionnel de la bonne foi (art. 9 Cst.) et vaut également en matière de droit public (arrêt du Tribunal fédéral 2C_17/2008 du 16 mai 2008 consid. 6.2).</w:t>
      </w:r>
    </w:p>
    <w:p>
      <w:r>
        <w:rPr>
          <w:b/>
        </w:rPr>
        <w:t>E. 4.6</w:t>
      </w:r>
    </w:p>
    <w:p>
      <w:r>
        <w:t>Le principe de la proportionnalité, garanti par l'art. 5 al. 2 Cst.,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(proportionnalité au sens étroit ; ATF 126 I 219 consid. 2c et les références citées).</w:t>
      </w:r>
    </w:p>
    <w:p>
      <w:r>
        <w:rPr>
          <w:b/>
        </w:rPr>
        <w:t>E. 4.7</w:t>
      </w:r>
    </w:p>
    <w:p>
      <w:r>
        <w:t>En l'espèce, le recourant ne conteste à juste titre pas avoir commis deux excès de vitesse de respectivement 47 km/h et 30 km/h sur des tronçons limités à 50 km/h, ce qui est objectivement constitutif, en application de la jurisprudence susmentionnée, de deux infractions graves (art. 16c al. 1 let. a LCR). Par conséquent, l'OCV avait l'obligation de prononcer à son encontre une interdiction de faire usage en Suisse de son permis de conduire pour une durée minimale de trois mois. Il a porté cette durée à six mois, compte tenu de l’ensemble des circonstances et de l’importance de l'excès de vitesse commis à 14h01, tout en tenant compte du besoin professionnel du recourant de conduire des véhicules automobiles. Le raisonnement de l'OCV et le résultat auquel il est parvenu ne sont pas critiquables, pour les raisons qui suivent.</w:t>
      </w:r>
    </w:p>
    <w:p>
      <w:r>
        <w:rPr>
          <w:b/>
        </w:rPr>
        <w:t>E. 4.7.1</w:t>
      </w:r>
    </w:p>
    <w:p>
      <w:r>
        <w:t>Constituent des circonstances à prendre en compte en défaveur du recourant l'importance de son excès de vitesse, la gravité de sa faute ainsi que la commission d'une seconde infraction grave le même jour. L'excès de vitesse commis par le l'intéressé à 14h01 est important puisqu'il se situe à la limite (soit 3 km/h) du délit de chauffard réprimé par l'art. 90 al. 3 et 4 LCR. Or, lorsqu'un automobiliste commet un délit de chauffard, son permis lui est retiré pour deux ans au moins (art. 16c al. 2 let.a bis LCR). La faute commise par le recourant est grave. À le suivre, l'état psychologique dans lequel il se trouvait, soit « un état de confusion généralisé », expliquerait son manque d'attention au moment des faits et devrait être considéré comme un élément permettant de réduire la sanction. Or, tel ne saurait être le cas. En effet, s'il était, comme il le décrit, en proie à des émotions – quelles qu'en soient les causes – telles qu'elles l'empêchaient de se rendre compte, d'une part, qu'il roulait dans une localité et, d'autre part, que la vitesse était limitée à 50 km/h à l’entrée de la localité quel que soit le sens dans lequel on la traversait (ce qui ressort de la consultation du SITG), il se trouvait alors en incapacité de conduire et il lui incombait ainsi d’y renoncer, conformément à l'art. 31 al. 2 LCR. Or, en prenant malgré cela le volant, – sans qu'il ressorte d'ailleurs du dossier qu'il se trouvait dans la nécessité de le faire –, et en commettant un excès de vitesse important, en étant de surcroît totalement inattentif aux règles de la circulation et à son environnement, il a considérablement augmenté le risque de provoquer un accident, mettant ainsi gravement en danger la sécurité routière. Enfin, la commission d'une seconde infraction grave au sens de l'art. 16c al. 1 let. a LCR, de surcroît le même jour, constitue une circonstance aggravante qui doit avoir, comme en droit pénal, pour effet d'augmenter la sanction dans une juste proportion (art. 49 al. 1 du Code pénal suisse du 21 décembre 1937 - CP - RS 311.0). Cela s'impose d'autant plus que cette seconde infraction a été commise en plein milieu d'une zone d'habitations (au lieu-dit « Le Petit Veyrier » à hauteur du 62, route du Pas-de-l'Échelle), comme le confirme la consultation du SITG.</w:t>
      </w:r>
    </w:p>
    <w:p>
      <w:r>
        <w:rPr>
          <w:b/>
        </w:rPr>
        <w:t>E. 4.7.2</w:t>
      </w:r>
    </w:p>
    <w:p>
      <w:r>
        <w:t>En revanche, comme l'a relevé à juste titre le TAPI, aucune circonstance ne permet de considérer le cas comme de moindre gravité. L’absence d’antécédents n’est pas de nature à diminuer l’importance de la faute commise. En outre, bien que le tracé de la route ait été rectiligne, que la visibilité fût bonne, que les conditions du trafic aient été fluides et que le temps était beau, le recourant était totalement inattentif aux règles de la circulation et aux lieux dans lesquels il circulait, qu’il a indiqué ne pas connaître. Les bonnes conditions de visibilité, du tracé et de trafic n'enlèvent d'ailleurs rien à l'importance de l'excès de vitesse, à la faute grave du recourant et au danger qu'il a fait naître en prenant le volant malgré les vives émotions qu’il traversait au moment des faits. Enfin, au vu de l'existence de deux panneaux à chacune des extrémités de la route, le recourant n'avait aucun motif – ni a fortiori de motif sérieux – de penser qu'il ne se trouvait pas ou plus dans la zone de limitation de vitesse.</w:t>
      </w:r>
    </w:p>
    <w:p>
      <w:r>
        <w:rPr>
          <w:b/>
        </w:rPr>
        <w:t>E. 4.7.3</w:t>
      </w:r>
    </w:p>
    <w:p>
      <w:r>
        <w:t>Il ressort de l'attestation produite par son employeur que le recourant a un besoin professionnel de son véhicule. Toutefois, le recourant n'allègue pas, ni a fortiori ne démontre, que la conduite d'un véhicule automobile serait sa seule activité professionnelle au sein de l'entreprise qui l'emploie, ni qu'il ne pourrait pas être remplacé temporairement pour la partie de son activité dévolue à la conduite. En outre, rien ne permet de retenir que l'intéressé ne pourrait pas se déplacer chez les clients de son employeur au moyen des transports publics. Par conséquent, le besoin professionnel du recourant de disposer de la possibilité de se déplacer au volant d’un véhicule automobile doit être relativisé. Il apparaît dès lors que la durée de l'interdiction de faire usage du permis de conduire fixée à six mois par l'OCV, soit trois mois en sus du minimum légal, tient compte dans une juste mesure des circonstances aggravantes, soit de la gravité et de la répétition des excès de vitesse commis et de la faute du recourant, de son besoin professionnel relatif ainsi que de l'inexistence de circonstances qui auraient permis de considérer le cas comme de moindre gravité. Pour le surplus, l'interdiction de faire usage du permis de conduire est apte à faire prendre conscience au recourant du danger qu'il a fait naître en raison de son comportement fautif et de le dissuader de récidiver. On ne voit pas quelle autre mesure moins incisive pourrait être prononcée. Enfin, l'intérêt public à la sécurité routière, qui est d'importance majeure, prime l'intérêt du recourant à pouvoir conduire son véhicule pendant la durée de l'interdiction. Ainsi, et compte tenu de l'ensemble des circonstances, celle-ci n'apparaît pas disproportionnée. L'OCV n'a donc pas abusé de son pouvoir d'appréciation en prononçant une interdiction de faire usage du permis de conduire d'une durée de six mois. Entièrement mal fondé, le recours sera rejeté.</w:t>
      </w:r>
    </w:p>
    <w:p>
      <w:r>
        <w:rPr>
          <w:b/>
        </w:rPr>
        <w:t>E. 5</w:t>
      </w:r>
    </w:p>
    <w:p>
      <w:r>
        <w:t>Vu l'issue du litige, un émolument de procédure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