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A/1062/2007 vom 30. Oktober 2007</w:t>
      </w:r>
    </w:p>
    <w:p>
      <w:r>
        <w:t>GE Cour de justice, 2007-10-30, FR</w:t>
      </w:r>
    </w:p>
    <w:p>
      <w:r>
        <w:rPr>
          <w:b/>
        </w:rPr>
        <w:t xml:space="preserve">Quelle: </w:t>
      </w:r>
      <w:r>
        <w:t>https://mcp.opencaselaw.ch/entscheid/ge_gerichte_A_1062_2007</w:t>
      </w:r>
    </w:p>
    <w:p>
      <w:r>
        <w:t>FR: GE_GERICHTE A/1062/2007 du 30 octobre 2007</w:t>
      </w:r>
    </w:p>
    <w:p>
      <w:r>
        <w:t>IT: GE_GERICHTE A/1062/2007 del 30 ottobre 2007</w:t>
      </w:r>
    </w:p>
    <w:p>
      <w:pPr>
        <w:pStyle w:val="Heading2"/>
      </w:pPr>
      <w:r>
        <w:t>Erwägungen</w:t>
      </w:r>
    </w:p>
    <w:p>
      <w:r>
        <w:rPr>
          <w:b/>
        </w:rPr>
        <w:t>E. 1</w:t>
      </w:r>
    </w:p>
    <w:p>
      <w:r>
        <w:t>La loi genevoise sur l’organisation judiciaire du 22 novembre 1941 (LOJ) a été modifiée et a institué, dès le 1er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Sa compétence pour juger du cas d’espèce est ainsi établie. La LPGA est entrée en vigueur le 1er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 169 consid. 1 ; 356 consid. 1 et les arrêts cités). Ces principes de droit intertemporel commandent ainsi l'examen du bien-fondé de la décision du 9 février 2007 à la lumière des anciennes dispositions de la LAI pour la période s'étendant jusqu'au 31 décembre 2002 et, le cas échéant, au regard des nouvelles dispositions de la LPGA pour la période postérieure (ATF 130 V 332 consid. 2.2 et 2.3). En ce qui concerne la procédure et à défaut de règles transitoires contraires, le nouveau droit s'applique sans réserve dès le jour de son entrée en vigueur (ATF 117 V 93 consid. 6b; 112 V 360 consid. 4a; RAMA 1998 KV 37 p. 316 consid. 3b).</w:t>
      </w:r>
    </w:p>
    <w:p>
      <w:r>
        <w:rPr>
          <w:b/>
        </w:rPr>
        <w:t>E. 3</w:t>
      </w:r>
    </w:p>
    <w:p>
      <w:r>
        <w:t>Le Tribunal de céans constate que le recours, interjeté dans les formes et délai légaux prévus par l’art. 60 LPGA, est recevable.</w:t>
      </w:r>
    </w:p>
    <w:p>
      <w:r>
        <w:rPr>
          <w:b/>
        </w:rPr>
        <w:t>E. 4</w:t>
      </w:r>
    </w:p>
    <w:p>
      <w:r>
        <w:t>Il convient de déterminer si la décision de l’intimé pouvait être revue par la voie de la révision ou par celle de la reconsidération, puis d’établir, le cas échéant, le degré d’invalidité du recourant. a) 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 112 V 372 consid. 2b et 390 consid. 1b). Il n'y a toutefois pas matière à révision - ni à reconsidération - lorsque les circonstances sont demeurées inchangées et que le motif de la suppression ou de la diminution de la rente réside uniquement dans une nouvelle appréciation du cas (ATFA non publié du 12 octobre 2005, I 8/04, consid. 2; ATF 112 V 372 consid. 2b et 390 consid. 1b). Un motif de révision selon l'art. 17 LPGA doit ainsi clairement ressortir du dossier (ATFA non publié du 12 octobre 2005, I 8/04, consid. 2; MUELLER, Die materiellen Voraussetzungen der Rentenrevision in der Invalidenversicherung, thèse Fribourg 2002, pp. 133 ss). La réglementation sur la révision de la rente ne saurait en effet constituer un fondement juridique à un réexamen sans condition du droit à la rente. Enfin, il convient de préciser que l'art. 17 LPGA n'a pas apporté de modification aux principes jurisprudentiels développés sous le régime de l'ancien art. 41 LAI, en vigueur jusqu'au 31 décembre 2002 (ATF 130 V 343 consid. 3.5). b)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 SPIRA, La preuve en droit des assurances sociales, in : Mélanges en l'honneur de Henri-Robert SCHÜPBACH - Bâle, 2000, p. 268).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l'assurance-invalidité (ATF 123 V 175 ), les expertises produites par une partie ainsi que les expertises médicales ordonnées par le juge de première ou de dernière instance (VSI 1997, p. 318 consid. 3b;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w:t>
      </w:r>
    </w:p>
    <w:p>
      <w:r>
        <w:rPr>
          <w:b/>
        </w:rPr>
        <w:t>E. 5</w:t>
      </w:r>
    </w:p>
    <w:p>
      <w:r>
        <w:t>En l'occurrence se trouvent notamment au dossier deux expertises médicales conduites par des spécialistes, des avis du médecin traitant, un avis du SMR ainsi que le rapport d'un entretien que le recourant a eu avec l'une des collaboratrices de l'OCAI. Tout d'abord, il convient de relever que les deux expertises remplissent les exigences jurisprudentielles pour leur reconnaître pleine valeur probante. Les experts n'arrivent cependant pas aux mêmes conclusions s'agissant de la capacité de travail résiduelle du recourant. L'expert M___________ conclut qu'il présente une capacité de 50% dans sa profession et l'expert C___________ une capacité de 2 à 3 heures dans un cadre protégé. Le SMR se rallie à l'avis du Dr B___________ faisant valoir que le Dr C___________ n'a pas motivé la raison pour laquelle il ne retient qu'une capacité de 2 à 3 heures par jour, alors que la vidange de la poche ne prend au maximum que 10% du temps de l'assuré pendant la journée. Quant au médecin traitant, il estime que son patient ne peut travailler qu'occasionnellement à 50%, mais pas de manière régulière. Le Tribunal de céans relève que seul le temps de vidange de la poche diminue la capacité de travail du recourant, ainsi qu'une asthénie chronique. Ce dernier doit aussi parfois pouvoir se doucher et se changer, lorsque la poche s'est détachée. Il y a lieu de relever également que depuis les années 1990, l'état de santé est stabilisé et donc amélioré par rapport à la période précédent les années 1990 lors de laquelle l'assuré a subi de très nombreuses opérations. Par ailleurs, le recourant a déclaré avoir travaillé environ 4 heures par jour pour son restaurant pendant 2 ans et avoir été responsable de la préparation du plat du jour. Ce n'est que lorsqu'il s'est retrouvé seul aux commandes de son café, avec l'aide d'étudiants pour le seconder, qu'il a souffert d'une grande fatigue. Cependant, il a réussi, de manière régulière et pendant 2 ans, à exercer son ancienne profession, sans développer de fatigue excessive. Ce n'est que dans une situation particulièrement stressante, quand il s'est vu seul responsable de son restaurant qu'il a présenté des signes sévères d'asthénie. Au vu de ce qui précède, et singulièrement des déclarations de l'assuré, le Tribunal de céans estime, en accord avec le Dr M___________ et le SMR, que le recourant peut travailler à mi-temps, dans sa profession de serveur, s'il a accès à des sanitaires facilement accessibles. A cet égard, il doit pouvoir lui être possible de répartir son temps de travail sur 5 heures, ce qui lui permet de prendre le temps nécessaire à la vidange de sa poche. Ce faisant, il y a lieu de constater que l'état de santé du recourant, stabilisé, et donc amélioré depuis l'octroi de la rente initiale d'invalidité, permet de revoir ladite décision par la voie de la révision.</w:t>
      </w:r>
    </w:p>
    <w:p>
      <w:r>
        <w:rPr>
          <w:b/>
        </w:rPr>
        <w:t>E. 6</w:t>
      </w:r>
    </w:p>
    <w:p>
      <w:r>
        <w:t>Dès lors que le Tribunal a reconnu au recourant une capacité de travail de 50%, il convient de procéder à la comparaison des revenus avant et après invalidité. Aux termes de l’art. 28 al. 1 LAI, en vigueur depuis le 1 er janvier 2004, l’assuré a droit à un quart de rente si le taux d'invalidité atteint 40% au moins, à une demi-rente s’il atteint 50% au moins, à trois-quarts de rente s’il atteint 60% et à une rente entière s’il atteint 70% au moins.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Compte tenu du fait que l’assuré n'exerçait plus d'activité en janvier 2005, date de la réduction de sa rente d'invalidité, et ce depuis une année et demi, il convient de se baser sur les salaires statistiques de l’Enquête suisse sur la structure des salaires de l'année 2004, pour déterminer le revenu avant invalidité. Il y a lieu par conséquent de prendre le revenu statistique 2004, TA1, page 53, total hommes, hôtellerie et restauration, connaissances spécialisées - puisque le recourant est au bénéfice d'un certificat de cafetier-restaurateur -, ce qui correspond à un revenu moyen de 4'186 fr. par mois, soit de 50'232 fr. à plein temps. Comme les salaires bruts standardisés tiennent compte d'un horaire de travail de 40 heures, soit une durée hebdomadaire inférieure à la moyenne usuelle dans les entreprises en 2004 (41,6 heures; La Vie économique, 3-2006, p. 90, B9.2), ce montant doit être porté à 52'241 fr. 30. Pour le revenu d'invalide, le salaire de référence est le même, mais à 50%, ce qui représente un revenu de 26'120 fr. 65. Compte tenu d'une réduction maximale de 25% en raison des limitations importantes dues à la vidange de la poche et à son détachement, ainsi qu'au travail à temps partiel, le revenu d'invalide s'élève à 19'590 fr. 50. La comparaison des revenus déterminants avant et après invalidité conduit ainsi à retenir un taux d’invalidité de 62,50%, qui ouvre droit à trois-quarts de rente d'invalidité à partir du 1 er janvier 2005 ([52'241 fr. 30 - 19'590 fr. 50] x 100 : 52'241 fr. 30 = 62,50). Au vu de ce qui précède, il convient de constater que le recourant obtient partiellement gain de cause. Ce faisant, il a droit à des dépens, fixés à 1'000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