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A/1062/2004 vom 28. November 2005</w:t>
      </w:r>
    </w:p>
    <w:p>
      <w:r>
        <w:t>GE Cour de justice, 2005-11-28, FR</w:t>
      </w:r>
    </w:p>
    <w:p>
      <w:r>
        <w:rPr>
          <w:b/>
        </w:rPr>
        <w:t xml:space="preserve">Quelle: </w:t>
      </w:r>
      <w:r>
        <w:t>https://mcp.opencaselaw.ch/entscheid/ge_gerichte_A_1062_2004</w:t>
      </w:r>
    </w:p>
    <w:p>
      <w:r>
        <w:t>FR: GE_GERICHTE A/1062/2004 du 28 novembre 2005</w:t>
      </w:r>
    </w:p>
    <w:p>
      <w:r>
        <w:t>IT: GE_GERICHTE A/1062/2004 del 28 novembre 2005</w:t>
      </w:r>
    </w:p>
    <w:p>
      <w:pPr>
        <w:pStyle w:val="Heading2"/>
      </w:pPr>
      <w:r>
        <w:t>Regeste</w:t>
      </w:r>
    </w:p>
    <w:p>
      <w:r>
        <w:t>; PRÉVOYANCE PROFESSIONNELLE ; PRESTATION DE PRÉVOYANCE ; MORT ; CONCUBINAGE ; OBLIGATION D'ENTRETIEN ; AYANT DROIT ; BÉNÉFICIAIRE DE PRESTATIONS ; SURVIVANT | LPP.19; LPP.20; LPP.20a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la demande ne peut qu’être rejetée.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