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A/1059/1999 vom 14. März 2000</w:t>
      </w:r>
    </w:p>
    <w:p>
      <w:r>
        <w:t>GE Cour de justice, 2000-03-14, FR</w:t>
      </w:r>
    </w:p>
    <w:p>
      <w:r>
        <w:rPr>
          <w:b/>
        </w:rPr>
        <w:t xml:space="preserve">Quelle: </w:t>
      </w:r>
      <w:r>
        <w:t>https://mcp.opencaselaw.ch/entscheid/ge_gerichte_A_1059_1999</w:t>
      </w:r>
    </w:p>
    <w:p>
      <w:r>
        <w:t>FR: GE_GERICHTE A/1059/1999 du 14 mars 2000</w:t>
      </w:r>
    </w:p>
    <w:p>
      <w:r>
        <w:t>IT: GE_GERICHTE A/1059/1999 del 14 marzo 2000</w:t>
      </w:r>
    </w:p>
    <w:p>
      <w:pPr>
        <w:pStyle w:val="Heading2"/>
      </w:pPr>
      <w:r>
        <w:t>Regeste</w:t>
      </w:r>
    </w:p>
    <w:p>
      <w:r>
        <w:t>CIRCULATION ROUTIERE; ETAT DE NECESSITE; LCR | Etat de nécessité admis dans le cas d'une sage-femme appelée d'urgence auprès d'une patiente qui perdait du sang et qui commet, à cette occasion un excès de vitesse.Le Tribunal administratif a admis l'état de nécessité dans le cas d'une sage-femme appelée d'urgence auprès d'une patiente qui perdait du sang et qui a commis à cette occasion un excès de vitesse. | CP.34; LCR.16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recours étant admis, Mme C. a droit au versement d'une indemnité de procédure d'un montant de CHF 600.-.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