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A/1052/2022 vom 30. Januar 2024</w:t>
      </w:r>
    </w:p>
    <w:p>
      <w:r>
        <w:t>GE Cour de justice, 2024-01-30, FR</w:t>
      </w:r>
    </w:p>
    <w:p>
      <w:r>
        <w:rPr>
          <w:b/>
        </w:rPr>
        <w:t xml:space="preserve">Quelle: </w:t>
      </w:r>
      <w:r>
        <w:t>https://mcp.opencaselaw.ch/entscheid/ge_gerichte_A_1052_2022</w:t>
      </w:r>
    </w:p>
    <w:p>
      <w:r>
        <w:t>FR: GE_GERICHTE A/1052/2022 du 30 janvier 2024</w:t>
      </w:r>
    </w:p>
    <w:p>
      <w:r>
        <w:t>IT: GE_GERICHTE A/1052/2022 del 30 gennaio 2024</w:t>
      </w:r>
    </w:p>
    <w:p>
      <w:pPr>
        <w:pStyle w:val="Heading2"/>
      </w:pPr>
      <w:r>
        <w:t>Erwägungen</w:t>
      </w:r>
    </w:p>
    <w:p>
      <w:r>
        <w:rPr>
          <w:b/>
        </w:rPr>
        <w:t>E. 2</w:t>
      </w:r>
    </w:p>
    <w:p>
      <w:r>
        <w:t>À titre préalable, le recourant conclut à l'audition de trois témoins, soit K______, L______et M______et à la production par l'OCPM de toute directive ou document interne concernant les critères de l'« opération Papyrus ».![endif]&gt;![if&gt;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 étant rappelé que la procédure administrative est en principe écrite (art. 18 LPA).![endif]&gt;![if&gt;</w:t>
      </w:r>
    </w:p>
    <w:p>
      <w:r>
        <w:rPr>
          <w:b/>
        </w:rPr>
        <w:t>E. 2.2</w:t>
      </w:r>
    </w:p>
    <w:p>
      <w:r>
        <w:t>En l’espèce, le recourant s’est vu offrir l’occasion d’exposer ses arguments et de produire toute pièce utile tant devant l’OCPM que le TAPI et la chambre de céans. L'OCPM s'étant exprimé de manière autorisée dans ses diverses décisions et écritures, il n'y a pas lieu d'entendre l'un de ses chefs de service pour confirmer ou infirmer sa pratique. Quant à l'audition de L______et M______, ces derniers ont déjà signé des attestations que le recourant a jointes à son recours, et quoi qu'il en soit leur témoignage n'aurait pas d'incidence sur l'issue du litige au vu des pièces figurant déjà au dossier.![endif]&gt;![if&gt; S'agissant de la production de directives ou de documents internes de l'OCPM au sujet de l'« opération Papyrus », elle ne servirait de rien au recourant, le fait que les dix ans de séjour continu se compte rétrochronologiquement à partir de la date de dépôt de la demande, soit nécessairement à partir d'une date antérieure au 31 décembre 2018, résultant d'une abondante jurisprudence de la chambre de céans (parmi les plus récents arrêts : ATA/1341/2023 du 12 décembre 2023 consid. 4.8 ; ATA/1257/2023 du 21 novembre 2023 consid. 3.8 ; ATA/1127/2023 du 6 octobre 2023 consid. 3.6 ; ATA/650/2023 du 20 juin 2023 consid. 3.10). Il ne sera dès lors pas donné suite aux demandes d'actes d'instruction.</w:t>
      </w:r>
    </w:p>
    <w:p>
      <w:r>
        <w:rPr>
          <w:b/>
        </w:rPr>
        <w:t>E. 3</w:t>
      </w:r>
    </w:p>
    <w:p>
      <w:r>
        <w:t>Le recourant soutient qu’il remplit les conditions permettant l’octroi d’une autorisation de séjour pour cas d’extrême gravité, y compris celles prévues par l’« opération Papyrus ».![endif]&gt;![if&gt;</w:t>
      </w:r>
    </w:p>
    <w:p>
      <w:r>
        <w:rPr>
          <w:b/>
        </w:rPr>
        <w:t>E. 3.1</w:t>
      </w:r>
    </w:p>
    <w:p>
      <w:r>
        <w:t>Le 1 er janvier 2019 est entrée en vigueur une modification de la LEI et de l’OASA. Conformément à l'art. 126 al. 1 LEI, les demandes déposées, comme en l’espèce, avant le 1 er janvier 2019 sont régies par l’ancien droit.![endif]&gt;![if&gt;</w:t>
      </w:r>
    </w:p>
    <w:p>
      <w:r>
        <w:rPr>
          <w:b/>
        </w:rPr>
        <w:t>E. 3.2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3.3</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w:t>
      </w:r>
    </w:p>
    <w:p>
      <w:r>
        <w:rPr>
          <w:b/>
        </w:rPr>
        <w:t>E. 3.4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3.5</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 opération Papyrus »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w:t>
      </w:r>
    </w:p>
    <w:p>
      <w:r>
        <w:rPr>
          <w:b/>
        </w:rPr>
        <w:t>E. 3.6</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3.2).![endif]&gt;![if&gt;</w:t>
      </w:r>
    </w:p>
    <w:p>
      <w:r>
        <w:rPr>
          <w:b/>
        </w:rPr>
        <w:t>E. 3.7</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OASA.![endif]&gt;![if&gt;</w:t>
      </w:r>
    </w:p>
    <w:p>
      <w:r>
        <w:rPr>
          <w:b/>
        </w:rPr>
        <w:t>E. 3.8</w:t>
      </w:r>
    </w:p>
    <w:p>
      <w:r>
        <w:t>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ATA/50/2024 du 16 janvier 2024 consid. 2.11 ; ATA/382/2023 du 18 avril 2023 consid. 5b).![endif]&gt;![if&gt;</w:t>
      </w:r>
    </w:p>
    <w:p>
      <w:r>
        <w:rPr>
          <w:b/>
        </w:rPr>
        <w:t>E. 3.9</w:t>
      </w:r>
    </w:p>
    <w:p>
      <w:r>
        <w:t>En l'espèce, le recourant soutient être établi en Suisse de manière ininterrompue depuis 2008 et avoir prouvé sa présence par pièces depuis cette date.![endif]&gt;![if&gt; Il ne peut être suivi. Il n’a pas apporté la preuve d’un séjour continu, comme l’a relevé à bon droit le TAPI. Ce dernier a pris en compte notamment ses cotisations AVS très irrégulières durant la période considérée, pour des périodes allant de cinq à onze mois par année, et des périodes de travail allant seulement de un à huit mois de 2008 à 2013 puis de six mois en 2017 ; le fait que le recourant est marié et père de deux enfants, vivant avec leur mère au Kosovo ; qu'il avait déposé en 2017, depuis le Kosovo, plusieurs demandes de visas auprès des représentations de la Slovénie à Pristina, de la Pologne à Skopje et de la République tchèque également à Skopje, auxquelles il a joint des justificatifs de sa résidence à H______, en particulier une déclaration de vie commune avec son épouse au Kosovo ainsi que la création d'une société sur place. Il a conclu que le recourant n’avait pu séjourner de manière continue dix ans en Suisse au moment du dépôt de sa requête en mai 2018, et qu’un séjour ininterrompu ne pouvait être retenu que depuis cette date. Le recourant ne remet cette analyse en question que sous deux angles. Pour le décompte de son séjour continu de dix ans, il soutient que celui-ci doit remonter dans le temps à partir de l'année de traitement de la demande, et qu'une seule « preuve de catégorie A » est nécessaire pour chaque année. Comme déjà exposé, il résulte de la jurisprudence de la chambre de céans que pour bénéficier de l'« opération Papyrus », il y avait lieu de prouver dix ans de séjour continu en remontant à la date du dépôt de la demande. S'agissant des catégories de preuve, le recourant perd de vue qu'il s'agissait là uniquement de lignes directrices permettant de simplifier le traitement des demandes, et non d'un quelconque système de preuves légales, lesquelles seraient contraires au principe de la libre appréciation des preuves. Or, le raisonnement du TAPI exposé ci-dessus échappe à toute critique s'agissant de la discontinuité du séjour du recourant. Il en résulte qu'il ne pouvait pas bénéficier de l'« opération Papyrus ». Du point de vue des conditions ordinaires du cas d'extrême gravité, l’intégration professionnelle du recourant, qui a travaillé dans la restauration et la construction, ne saurait être qualifiée d’exceptionnelle. Le fait de disposer d’un emploi, d’être autonome financièrement et d’entretenir sa famille, de n’avoir ni poursuites ni dettes, de ne pas émarger à l’aide sociale et de maîtriser le français au degré requis constituent des qualités pouvant être attendues de tout candidat à la régularisation de ses conditions de séjour. Le recourant ne fait pas valoir qu’il aurait acquis en Suisse des connaissances si spécifiques qu’il ne pourrait en tirer profit dans un autre pays. Au plan social, il ne fait pas valoir d’intégration particulière et ne soutient notamment pas s’être investi dans la vie culturelle, sportive ou associative. Sa femme et ses enfants vivent au Kosovo, et il a produit en 2017 auprès de représentations européennes une attestation de vie commune avec elle. Il a de plus sollicité plusieurs visas entre 2018 et 2022 pour se rendre au Kosovo pour raisons familiales, ce qui achève de démontrer qu'il a encore des liens forts avec son pays d'origine. Le recourant est âgé de 54 ans et apparemment en bonne santé. Sa réintégration au Kosovo ne sera sans doute pas aisée, mais elle ne présentera pas de difficultés supérieures à celles affrontées par ses compatriotes qui se trouvent dans la même situation. La durée de son séjour en Suisse ne permet en aucun cas de retenir que le retour constituerait un déracinement ou entraînerait pour lui une détresse profonde. Il pourra faire valoir au Kosovo l’expérience acquise en Suisse, et retrouvera sur place son épouse et ses deux enfants. Il découle de ce qui précède que le refus de transmettre au SEM le dossier du recourant avec un préavis favorable est conforme au droit, les conditions d'un cas d'extrême gravité n'étant pas remplies.</w:t>
      </w:r>
    </w:p>
    <w:p>
      <w:r>
        <w:rPr>
          <w:b/>
        </w:rPr>
        <w:t>E. 4</w:t>
      </w:r>
    </w:p>
    <w:p>
      <w:r>
        <w:t>Il convient encore d’examiner si le renvoi prononcé par l’OCPM est fondé.![endif]&gt;![if&gt;</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4.2</w:t>
      </w:r>
    </w:p>
    <w:p>
      <w:r>
        <w:t>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et de tels éléments ne ressortent pas non plus du dossier.![endif]&gt;![if&gt; Entièrement mal fondé, le recours sera rejeté.</w:t>
      </w:r>
    </w:p>
    <w:p>
      <w:r>
        <w:rPr>
          <w:b/>
        </w:rPr>
        <w:t>E. 5</w:t>
      </w:r>
    </w:p>
    <w:p>
      <w:r>
        <w:t>Vu l'issue du recours,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