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A/1052/2019 vom 24. April 2019</w:t>
      </w:r>
    </w:p>
    <w:p>
      <w:r>
        <w:t>GE Cour de justice, 2019-04-24, FR</w:t>
      </w:r>
    </w:p>
    <w:p>
      <w:r>
        <w:rPr>
          <w:b/>
        </w:rPr>
        <w:t xml:space="preserve">Quelle: </w:t>
      </w:r>
      <w:r>
        <w:t>https://mcp.opencaselaw.ch/entscheid/ge_gerichte_A_1052_2019</w:t>
      </w:r>
    </w:p>
    <w:p>
      <w:r>
        <w:t>FR: GE_GERICHTE A/1052/2019 du 24 avril 2019</w:t>
      </w:r>
    </w:p>
    <w:p>
      <w:r>
        <w:t>IT: GE_GERICHTE A/1052/2019 del 24 aprile 2019</w:t>
      </w:r>
    </w:p>
    <w:p>
      <w:pPr>
        <w:pStyle w:val="Heading2"/>
      </w:pPr>
      <w:r>
        <w:t>Volltext</w:t>
      </w:r>
    </w:p>
    <w:p>
      <w:r>
        <w:t>Genève Cour de justice (Cour de droit public) Chambre des assurances sociales 24.04.2019 A/1052/2019</w:t>
      </w:r>
    </w:p>
    <w:p>
      <w:r>
        <w:t>A/1052/2019 ATAS/373/2019 du 24.04.2019 ( PC ) , SANS OBJET rÉpublique et canton de genÈve POUVOIR JUDICIAIRE A/1052/2019 ATAS/373/2019 COUR DE JUSTICE Chambre des assurances sociales Arrêt du 24 avril 2019 4 ème Chambre En la cause Madame A______, domiciliée à GENÈVE recourante contre SERVICE DES PRESTATIONS COMPLÉMENTAIRES, sis route de Chêne 54, GENÈVE intimé ATTENDU EN FAIT Que par décision sur opposition du 22 février 2019, le service des prestations complémentaires (ci-après le SPC) a fixé la valeur locative annuelle du bien immobilier sis en Bosnie de Madame A______ (ci-après la recourante) à CHF 2'521.80 ; Que par courrier du 13 mars 2019 l’intéressée a fait recours contre la décision précitée demandant à ce que le montant de EUR 70.80, déterminé par un expert immobilier, soit retenu dans le calcul de ses prestations ; Qu’un délai a été fixé au 19 avril 2019 au SPC pour répondre et déposer son dossier ; Que par pli du 11 avril 2019, le SPC a informé la chambre de céans avoir rendu une nouvelle décision sur opposition le même jour, annulant et remplaçant celle du 22 février 2019, qui tient compte d’une valeur locative de EUR 70.80 tel que requis par la recourante.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11 avril 2019.![endif]&gt;![if&gt;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