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A/104/2010 vom 4. November 2009</w:t>
      </w:r>
    </w:p>
    <w:p>
      <w:r>
        <w:t>GE Cour de justice, 2009-11-04, FR</w:t>
      </w:r>
    </w:p>
    <w:p>
      <w:r>
        <w:rPr>
          <w:b/>
        </w:rPr>
        <w:t xml:space="preserve">Quelle: </w:t>
      </w:r>
      <w:r>
        <w:t>https://mcp.opencaselaw.ch/entscheid/ge_gerichte_A_104_2010</w:t>
      </w:r>
    </w:p>
    <w:p>
      <w:r>
        <w:t>FR: GE_GERICHTE A/104/2010 du 4 novembre 2009</w:t>
      </w:r>
    </w:p>
    <w:p>
      <w:r>
        <w:t>IT: GE_GERICHTE A/104/2010 del 4 novembre 2009</w:t>
      </w:r>
    </w:p>
    <w:p>
      <w:pPr>
        <w:pStyle w:val="Heading2"/>
      </w:pPr>
      <w:r>
        <w:t>Regeste</w:t>
      </w:r>
    </w:p>
    <w:p>
      <w:r>
        <w:t>Retard injustifié. Réquisition de continuer la poursuite. | Retard injustifié admis vu le temps écoulé entre l'enregistrement des réquisitions de continuer et l'exécution de la saisie et la délivrance d'actes de défaut de biens. La Commission de surveillance relève que s'il incombe à l'Office des poursuites de donner suite aux demandes d'informations des parties à une procédure d'exécution forcée, il lui incombe également d'apporter des réponses correctes. | LP.17.3</w:t>
      </w:r>
    </w:p>
    <w:p>
      <w:pPr>
        <w:pStyle w:val="Heading2"/>
      </w:pPr>
      <w:r>
        <w:t>Erwägungen</w:t>
      </w:r>
    </w:p>
    <w:p>
      <w:r>
        <w:rPr>
          <w:b/>
        </w:rPr>
        <w:t>E. 09</w:t>
      </w:r>
    </w:p>
    <w:p>
      <w:r>
        <w:t>xxxx47 J, 09 xxxx46 K, 09 xxxx39 M et 09 xxxx17 L. 2. Invite, le cas échéant, l'Office des poursuites à communiquer sans retard à G______ SA les actes de défaut de biens.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