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A/1049/2018 vom 16. April 2019</w:t>
      </w:r>
    </w:p>
    <w:p>
      <w:r>
        <w:t>GE Cour de justice, 2019-04-16, FR</w:t>
      </w:r>
    </w:p>
    <w:p>
      <w:r>
        <w:rPr>
          <w:b/>
        </w:rPr>
        <w:t xml:space="preserve">Quelle: </w:t>
      </w:r>
      <w:r>
        <w:t>https://mcp.opencaselaw.ch/entscheid/ge_gerichte_A_1049_2018</w:t>
      </w:r>
    </w:p>
    <w:p>
      <w:r>
        <w:t>FR: GE_GERICHTE A/1049/2018 du 16 avril 2019</w:t>
      </w:r>
    </w:p>
    <w:p>
      <w:r>
        <w:t>IT: GE_GERICHTE A/1049/2018 del 16 aprile 2019</w:t>
      </w:r>
    </w:p>
    <w:p>
      <w:pPr>
        <w:pStyle w:val="Heading2"/>
      </w:pPr>
      <w:r>
        <w:t>Erwägungen</w:t>
      </w:r>
    </w:p>
    <w:p>
      <w:r>
        <w:rPr>
          <w:b/>
        </w:rPr>
        <w:t>E. 7</w:t>
      </w:r>
    </w:p>
    <w:p>
      <w:r>
        <w:t>a. Aux termes de l’art. 64 al. 1 let. c LEI, tout étranger dont l’autorisation est refusée, révoquée ou n’est pas prolongée après un séjour autorisé est renvoyé. La décision de renvoi est assortie d’un délai de départ raisonnable (art. 64d al. 1 LEI).![endif]&gt;![if&gt;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sens de l’art. 83 LEI et le dossier ne laisse pas apparaître d’éléments qui tendraient à démontrer le contraire. Mal fondé, le recours sera rejeté.</w:t>
      </w:r>
    </w:p>
    <w:p>
      <w:r>
        <w:rPr>
          <w:b/>
        </w:rPr>
        <w:t>E. 8</w:t>
      </w:r>
    </w:p>
    <w:p>
      <w:r>
        <w:t>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