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A/1044/2012 vom 25. Juni 2012</w:t>
      </w:r>
    </w:p>
    <w:p>
      <w:r>
        <w:t>GE Cour de justice, 2012-06-25, FR</w:t>
      </w:r>
    </w:p>
    <w:p>
      <w:r>
        <w:rPr>
          <w:b/>
        </w:rPr>
        <w:t xml:space="preserve">Quelle: </w:t>
      </w:r>
      <w:r>
        <w:t>https://mcp.opencaselaw.ch/entscheid/ge_gerichte_A_1044_2012</w:t>
      </w:r>
    </w:p>
    <w:p>
      <w:r>
        <w:t>FR: GE_GERICHTE A/1044/2012 du 25 juin 2012</w:t>
      </w:r>
    </w:p>
    <w:p>
      <w:r>
        <w:t>IT: GE_GERICHTE A/1044/2012 del 25 giugno 2012</w:t>
      </w:r>
    </w:p>
    <w:p>
      <w:pPr>
        <w:pStyle w:val="Heading2"/>
      </w:pPr>
      <w:r>
        <w:t>Erwägungen</w:t>
      </w:r>
    </w:p>
    <w:p>
      <w:r>
        <w:rPr>
          <w:b/>
        </w:rPr>
        <w:t>E. 2</w:t>
      </w:r>
    </w:p>
    <w:p>
      <w:r>
        <w:t>Aux termes de l'art. 35 al. 1 LAI, les hommes et les femmes qui peuvent prétendre à une rente d’invalidité ont droit à une rente pour chacun des enfants qui, au décès de ces personnes, auraient droit à la rente d’orphelin de l’assurance-vieillesse et survivants. Il s'agit d'un renvoi à l'art. 25 de la loi fédérale sur l’assurance-vieillesse et survivants du 20 décembre 1946 (LAVS ; RS 831.10), qui prévoit notamment que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 L'art. 49bis al. 1 er RAVS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Dans leur teneur dès le 1 er janvier 2011, les Directives précisent que la formation doit durer 4 semaines au moins et tendre systématiquement à l’acquisition de connaissances.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L'enfant, qui dans l'attente de la suite à donner à la fin de sa scolarité accomplit un préapprentissage ou un semestre de motivation, est considéré comme étant en formation professionnelle. Encore faut-il toutefois que les cours suivis pendant cette période transitoire portent sur 8 leçons au moins de 45 à 60 minutes par semaine.</w:t>
      </w:r>
    </w:p>
    <w:p>
      <w:r>
        <w:rPr>
          <w:b/>
        </w:rPr>
        <w:t>E. 3</w:t>
      </w:r>
    </w:p>
    <w:p>
      <w:r>
        <w:t>En l'espèce, il apparaît sur la base des informations fournies par les parties que la fille de la recourante a résilié son contrat d'apprentissage et quitté l'école de commerce X_________ à fin avril 2012. Elle s'est ensuite inscrite auprès de l'école Y__________ où elle suit des cours d'anglais et de secrétariat à raison de deux heures de 45 minutes par semaine. La formation ainsi suivie ne répond pas aux exigences de formation régulière au sens de l'art. 49bis RAVS. En effet, la formation de deux heures de cours par semaine est insuffisante en nombre d'heures de cours pour retenir que la fille de la recourante y consacre la majeure partie de son temps. Ce nombre se trouve, en particulier, nettement en dessous des minima exigés de 20 heures, respectivement 8 heures de cours par semaine. En revanche, jusqu'à fin avril 2012, la fille de la recourante suivait une formation régulière au sens de la disposition précitée, ce qui n'est au demeurant plus contesté. Le recours doit donc être admis et la décision attaquée annulée, la fin du droit à la rente complémentaire étant fixée au 30 avril 2012. La Cour relève, à toutes fins utiles, qu'à prioiri la reprise du droit à la rente complémentaire pourrait avoir lieu dans l'hypothèse où la fille de la recourante devait reprendre une formation régulière au sens exposé plus haut.</w:t>
      </w:r>
    </w:p>
    <w:p>
      <w:r>
        <w:rPr>
          <w:b/>
        </w:rPr>
        <w:t>E. 4</w:t>
      </w:r>
    </w:p>
    <w:p>
      <w:r>
        <w:t>Dans la mesure où la décision querellée est annulée, un émolument de 300 fr. sera mis à la charge de l'intimé. * * * PAR CES MOTIFS, LA CHAMBRE DES ASSURANCES SOCIALES : Statuant A la forme : Déclare le recours recevable. Au fond : Annule la décision du 26 mars 2012 et dit que la rente complémentaire doit être versée jusqu'au 30 avril 2012. Met un émolument de 300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