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A/1037/2015 vom 10. August 2016</w:t>
      </w:r>
    </w:p>
    <w:p>
      <w:r>
        <w:t>GE Cour de justice, 2016-08-10, FR</w:t>
      </w:r>
    </w:p>
    <w:p>
      <w:r>
        <w:rPr>
          <w:b/>
        </w:rPr>
        <w:t xml:space="preserve">Quelle: </w:t>
      </w:r>
      <w:r>
        <w:t>https://mcp.opencaselaw.ch/entscheid/ge_gerichte_A_1037_2015</w:t>
      </w:r>
    </w:p>
    <w:p>
      <w:r>
        <w:t>FR: GE_GERICHTE A/1037/2015 du 10 août 2016</w:t>
      </w:r>
    </w:p>
    <w:p>
      <w:r>
        <w:t>IT: GE_GERICHTE A/1037/2015 del 10 agosto 2016</w:t>
      </w:r>
    </w:p>
    <w:p>
      <w:pPr>
        <w:pStyle w:val="Heading2"/>
      </w:pPr>
      <w:r>
        <w:t>Erwägungen</w:t>
      </w:r>
    </w:p>
    <w:p>
      <w:r>
        <w:rPr>
          <w:b/>
        </w:rPr>
        <w:t>E. 1</w:t>
      </w:r>
    </w:p>
    <w:p>
      <w:r>
        <w:t>Expression des éléments pertinents pour le diagnostic et des symptômes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Par exemple, sur le plan étiologique, la caractéristique du syndrome somatoforme douloureux persistant est, selon la CIM-10 F45.5, qu’il survient dans un contexte de conflits émotionnels ou de problèmes psycho-sociaux. En revanche, la notion de bénéfice primaire de la maladie ne doit plus être utilisée (consid.  4.3.1.1).</w:t>
      </w:r>
    </w:p>
    <w:p>
      <w:r>
        <w:rPr>
          <w:b/>
        </w:rPr>
        <w:t>E. 2</w:t>
      </w:r>
    </w:p>
    <w:p>
      <w:r>
        <w:t>Succès du traitement et de la réadaptation ou résistance à ces derniers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Si des mesures de réadaptation entrent en considération après une évaluation médicale, l’attitude de l’assuré est déterminante pour juger du caractère invalidant ou non de l’atteinte à la santé. Le refus de l'assuré d'y participer est un indice sérieux d'une atteinte non invalidante. À l’inverse, une réadaptation qui se conclut par un échec en dépit d’une coopération optimale de la personne assurée peut être significative dans le cadre d’un examen global tenant compte des circonstances du cas particulier (consid. 4.3.1.2).</w:t>
      </w:r>
    </w:p>
    <w:p>
      <w:r>
        <w:rPr>
          <w:b/>
        </w:rPr>
        <w:t>E. 3</w:t>
      </w:r>
    </w:p>
    <w:p>
      <w:r>
        <w:t>Comorbidités La comorbidité psychique ne joue plus un rôle prépondérant de manière générale, mais ne doit être prise en considération qu’en fonction de son importance concrète dans le cas d’espèce, par exemple pour juger si elle prive l’assuré de ressources. Il est nécessaire de procéder à une approche globale de l’influence du trouble somatoforme douloureux avec l’ensemble des pathologies concomitantes. Un trouble qui, selon la jurisprudence, ne peut pas être invalidant en tant que tel (cf. consid. 4.3.1.2; arrêt du Tribunal fédéral 9C_98/2010 du 28 avril 2010, consid. 2.2.2, in : RSAS 2011 IV n° 17, p. 44) n’est pas une comorbidité (arrêt du Tribunal fédéral 9C_1040/2010 du 6 juin 2011, consid. 3.4.2.1, in : RSAS 2012 IV n° 1, p. 1) mais doit à la rigueur être pris en considération dans le cadre du diagnostic de la personnalité (ATF 141 V 281 consid. 4.3.2). Ainsi, un trouble dépressif réactionnel au trouble somatoforme ne perd pas toute signification en tant que facteur d’affaiblissement potentiel des ressources, mais doit être pris en considération dans l’approche globale (ATF 141 V 281 consid. 4.3.1.3). B. Axe « personnalité » (diagnostic de la personnalité, ressources personnelles) Il s’agit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(consid. 4.3.2).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(consid. 4.3.3). II. Catégorie « cohérence » Cette seconde catégorie comprend les indicateurs liés au comportement de l’assuré. (consid. 4.4).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les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(consid. 4.4.1). B. Poids de la souffrance révélé par l’anamnèse établie en vue du traitement et de la réadaptation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assurée (consid. 4.4.2). Le juge vérifie librement si l’expert médical a exclusivement tenu compte des déficits fonctionnels résultant de l’atteinte à la santé et si son évaluation de l’exigibilité repose sur une base objective (consid. 5.2.2; ATF 137 V 64 consid. 1.2 in fine). 10.    a. Pour pouvoir calculer le degré d’invalidité, l’administration (ou le juge, s’il y a eu recours) a besoin de documents qu’un médecin, éventuellement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et les références). ![endif]&gt;![if&gt; b.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c.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11.    Sans remettre en cause le principe de la libre appréciation des preuves, le Tribunal fédéral des assurances a posé des lignes directrices en ce qui concerne la manière d'apprécier certains types d'expertises ou de rapports médicaux (ATF 125 V 352 ss consid. 3).![endif]&gt;![if&gt; a.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b/aa. Selon l’art. 59 al.2bis LAI, les services médicaux régionaux sont à la disposition des offices AI pour évaluer les conditions médicales du droit aux prestations. Ils établissent les capacités fonctionnelles de l’assuré, déterminantes pour l’AI conformément à l’art. 6 LPGA, à exercer une activité lucrative ou à accomplir ses travaux habituels dans une mesure qui peut être raisonnablement exigée de lui. Ils sont indépendants dans l’évaluation médicale des cas d’espèce. À cet égard, l’art. 49 RAI prévoit que les services médicaux régionaux évaluent les conditions médicales du droit aux prestations. Ils sont libres dans le choix de la méthode d’examen appropriée, dans le cadre de leurs compétences médicales et des directives spécialisées de portée générale de l’office fédéral (alinéa 1). Les services médicaux régionaux peuvent au besoin procéder eux-mêmes à des examens médicaux sur la personne des assurés. Ils consignent les résultats de ces examens par écrit (alinéa 2). Le Tribunal fédéral rappelle que les nouveaux articles 59 al. 2bis LAI et 49 RAI adoptés lors de la 5ème révision AI visent à ce que l’AI aient à disposition ses propres médecins en vue d’apprécier les conditions médicales du droit aux prestations. Ceux-ci peuvent en raison de leur connaissances médicales spécialisées se déterminer pour l’AI sur la capacité fonctionnelle des assurés. Ainsi, est-il possible de séparer les compétences entre le médecin traitant (traitement médical) et l’assurance sociale (conséquence de l’atteinte à la santé sur la capacité de travail). Toutefois, l’on ne peut se baser sur une appréciation du SMR que si celle-ci remplit les conditions relatives à la valeur probante des rapports médicaux, soit en particulier, en prenant en compte l’anamnèse, en décrivant la situation médicale et ses conséquences; par ailleurs, les conclusions doivent être motivées (ATF 125 V 351 ). Il n’est toutefois pas nécessaire que l’assuré soit examiné par les médecins du SMR; ceux-ci ne le font que « au besoin » (49 al. 2 RAI). Dans les autres cas, ils se déterminent sur la base des pièces médicales au dossier. À cet égard, le fait qu’ils n’aient pas procédé à un examen médical n’est pas un motif pour remettre en question leur appréciation (arrêt du Tribunal fédéral 9C_323/2009 du 14 juillet 2009). b/bb. Un rapport au sens de l'art. 59 al. 2bis LAI (en corrélation avec l'art. 49 al. 1 du règlement sur l’assurance-invalidité du 17 janvier 1961 ; RAI – RS 831.201)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c/aa.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c/bb.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c/cc. Il convient en général de se montrer réservé par rapport à une appréciation médicale telle que celle rendue par le SMR, dès lors qu'elle ne repose pas sur des observations cliniques auxquelles l'un de ses médecins aurait personnellement procédé, mais sur une appréciation fondée exclusivement sur les informations versées au dossier (arrêt du Tribunal fédéral 9C_ 578/2009 du 29 décembre 2009 consid. 3.2 in fine). 12.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Dans un arrêt de principe, le Tribunal fédéral a modifié sa jurisprudence en ce sens que lorsque les instances cantonales de recours constatent qu'une instruction est nécessaire parce que l'état de fait médical doit être élucidé par une expertise, elles sont en principe tenues de diligenter une expertise judiciaire si les expertises médicales ordonnées par l'OAI ne se révèlent pas probantes (ATF 137 V 210 consid. 4.4.1.3). Cela étant, un renvoi à l'administration pour mise en œuvre d'une nouvelle expertise reste possible, même sous l'empire de la nouvelle jurisprudence, notamment lorsqu'il s'agit de préciser un point de l'expertise ordonnée par l'administration ou de demander un complément à l'expert (ATF 137 V 210 consid. 4.4.1.3 et 4.4.1.4; SVR 2010 IV n. 49 p. 151, consid. 3.5; arrêt du Tribunal fédéral 8C_760/2011 du 26 janvier 2012 consid. 3).![endif]&gt;![if&gt; Les expertises mises en œuvre selon l’ancien standard de procédure ne perdent pas en soi valeur de preuve. Lors de l’application par analogie des exigences désormais modifiées en matière de droit matériel des preuves, il faut examiner dans chaque cas si l’expertise administrative et/ou juridique demandée – le cas échéant dans le contexte d’autres rapports médicaux réalisés par des spécialistes – permet ou non une évaluation concluante à la lumière des indicateurs déterminants. Suivant le degré et l’ampleur de clarification nécessaire, un complément ponctuel peut dans certaines circonstances suffire (ATF 141 V 281 consid. 8) Lorsqu’une expertise ne permet pas une appréciation concluante du cas à l'aune des indicateurs déterminants développés par la nouvelle jurisprudence en lien avec les troubles somatoformes douloureux et d’autres syndromes somatiques dont l'étiologie est incertaine, un renvoi à l’administration pour instruction complémentaire et nouvelle décision est possible (arrêt du Tribunal fédéral 8C_219/2015 du 12 octobre 2015 consid. 5.4). 13.    En l’espèce, la chambre de céans avait considéré, par arrêt du 12 décembre 2011 ( ATAS/1237/2011 ), que la décision de l’intimé du 6 avril 2011, refusant tout droit à des prestations de l’AI à la recourante, se fondait exclusivement sur le rapport d’examen rhumato-psychiatrique du SMR du 7 décembre 2010 et que celui-ci ne pouvait se voir reconnaître de valeur probante. Aussi avait-elle renvoyé la cause à l’OAI en lui enjoignant de mettre en œuvre une expertise rhumato-psychiatrique et de confier cette dernière à des experts indépendants, charge à ceux-ci de déterminer précisément les atteintes de l’assurée et leurs répercussions sur sa capacité de travail, ainsi que les limitations fonctionnelles. ![endif]&gt;![if&gt; L’intimé s’est exécuté en précisant qu’il mettrait en œuvre une expertise pluridisciplinaire selon la procédure prévue par l’art. 72bis RAI, soit via la plateforme SuisseMED@P (cf. décision incidente du 26 septembre 2012 et l’arrêt du 29 avril 2013 – ATAS/404/2013 ). Malgré les doutes émis par la recourante au sujet du respect de cette procédure, force est de constater que la recourante a déclaré expressément dans son courrier du 12 décembre 2014 à l’intimé qu’elle ne contestait pas le bienfondé de l’expertise de la CRR, ce qui signifie, en d’autres termes, qu’elle n’entend faire valoir aucune prétention découlant d’une éventuelle violation du mode de désignation des experts. Au demeurant, les doutes exprimés par la recourante à ce sujet n’ont pas lieu d’être, les experts ayant confirmé que le mandat leur avait été « attribué via la plateforme MED@P » (expertise CRR p. 10, 1 er paragraphe). La chambre de céans considèrera en conséquence qu’il est établi, au degré de la vraisemblance prépondérante, que le mandat d’expertise pluridisciplinaire a été attribué de façon aléatoire à la CRR et, de façon plus générale, que la procédure ad hoc a été respectée. Rendu le 8 juillet 2014, le rapport d’expertise pluridisciplinaire de la CRR conclut que l’atteinte psychiatrique de la recourante est responsable d’une incapacité de travail de l’ordre de 50% dans quelque activité que ce soit, à la date de l’expertise, mais qu’il n’est pas possible de définir clairement d’un point de vue rétroactif à partir de quelle date le tableau clinique actuel, en particulier avec la composante anxieuse, s’est aggravé. 14.    Il ressort de la lecture des conclusions de ce rapport que les experts n’ont déterminé ni le début ni l’évolution de l’incapacité de travail dans l’activité habituelle, ni la capacité de travail exigible dans une activité adaptée (date et taux précis ; cf. liste des questions de l’intimé, in doc 139 p. 2 OAI). La question d’une éventuelle diminution de rendement dans l’activité habituelle et dans une activité adaptée demeure également sans réponse (cf. liste des questions de la recourante, points 7 et 11, in doc 142 p. 5 et 6 OAI). Dès lors que le juge des assurances sociales apprécie la légalité des décisions attaquées, en règle générale, d’après l’état de fait existant au moment où la décision litigieuse a été rendue (ATF 121 V 366 consid. 1b et les références) et que l’invalidité est réputée survenue lorsqu’un assuré présente une incapacité de travail d’au moins 40 % en moyenne depuis une année sans interruption notable et que son invalidité est de 40% au moins au terme de cette année (cf. art. 28 al. 1 let. b et c LAI), force est de constater qu’en faisant partir le délai d’attente d’une année depuis la date de l’expertise (18 juin 2014) comme le « suggèrent » les experts faute de précisions dans leurs réponses, une éventuelle invalidité de 50% ne serait même pas réputée survenue au moment déterminant sur le plan procédural – soit le 23 février 2015 dans le cas d’espèce. Il s’ensuit que la chambre de céans se trouve dans une situation similaire à celle qui prévalait à l’époque de l’arrêt du 12 décembre 2011 ( ATAS/1237/2011 ), situation qui avait motivé le renvoi de la cause à l’OAI en vue de la mise en œuvre d’une expertise rhumato-psychiatrique : en effet, il n’est toujours pas possible, en l’état, de statuer sur la capacité de travail de la recourante et partant, sur son degré d’invalidité. À elles seules, les lacunes évoquées seraient suffisantes pour justifier un renvoi de la cause pour instruction complémentaire.![endif]&gt;![if&gt; Se pose en outre la question de l’applicabilité de la nouvelle jurisprudence en matière de troubles somatoformes douloureux (arrêt du Tribunal fédéral 9C_492/2014 du 3 juin 2015, publié in ATF 141 V 281 ). Dans son écriture du 22 juillet 2015, l’intimé a indiqué qu’il n’entendait pas appliquer la nouvelle jurisprudence fédérale à la présente cause, au motif qu’« en matière d’assurances sociales, les règles applicables sont celles en vigueur au moment où les faits juridiquement déterminants se sont produits (ATF 127 V 467 consid. 1). Un changement de jurisprudence n’est un motif ni de révision, ni de reconsidération et ne déploie, en règle ordinaire, des effets que pour l’avenir (ATF 119 V 413 consid. 3a et les références) ». Il est évident qu’une nouvelle jurisprudence ne constitue ni un motif de révision ni un motif de reconsidération. Il va également de soi qu’un changement de jurisprudence ne vaut que pour les cas futurs. Il importe en revanche de souligner et de rappeler à l’attention de l’intimé qu’il s’applique pour les affaires pendantes devant un tribunal au moment du changement de jurisprudence (ATF 108 V 3 ). Il n’est alors question ni de révision ni de reconsidération. S’agissant du raisonnement – surprenant - tenu par l’intimé, selon lequel la décision contre laquelle l’assurée a interjeté recours le 27 mars 2015, est entrée en force, il y a lieu de relever que ladite décision n’est précisément pas entrée en force, puisqu’elle fait l’objet du présent litige. C’est donc en vain que l’intimé cite expressément un arrêt du Tribunal fédéral à l’appui de son refus de se déterminer quant à la nouvelle jurisprudence (119 V 410). En effet, dans cet arrêt, le Tribunal fédéral se demande en réalité si le fait qu’une décision soit entrée en force s’oppose à une application de la nouvelle jurisprudence. La décision du 23 février 2015 n’étant en l’espèce pas entrée en force, la modification de jurisprudence à laquelle a procédé le Tribunal fédéral dans son arrêt du 3 juin 2015 ne peut être que prise en considération pour résoudre le présent litige. En plus de présenter les lacunes évoquées, le rapport d’expertise de la CRR demeure également trop imprécis et pas assez fouillé – notamment sur les comorbidités psychiatriques et la date à partir de laquelle tableau clinique actuel se serait aggravé – pour que la chambre de céans puisse procéder elle-même à une évaluation concluante à la lumière des indicateurs déterminants, c’est-à-dire déterminer si le trouble somatoforme douloureux diagnostiqué par les experts est invalidant au regard des nouveaux critères jurisprudentiels (ATF 141 V 281 ). Dans ces circonstances, il s’impose que les experts ayant rendu les expertises ayant servi de base à la prise de la décision querellée soient invités à compléter leur appréciation au regard des indicateurs établis par le Tribunal fédéral et qu’ils complètent, si nécessaire, leurs réponses aux questions qui leur ont été posées par l’intimé (cf. doc. 139 OAI) et par la recourante (cf. doc 142 p. 3-7 et doc. 150 p. 2 OAI) dans la mesure de leur pertinence sous l’angle de ces indicateurs (cf. ci-dessus : consid. 9) et à la lumière des rapports médicaux versés au dossier postérieurement au rapport d’expertise du 8 juillet 2014, en tant que ceux-ci se réfèrent à l’état de santé de la recourante jusqu’au 23 février 2015, date de la décision querellée. L’intimé reste néanmoins libre de requérir ces compléments de la part d’autres experts s’il l’estime plus opportun. Dans ce cas, il lui appartiendra de permettre à la recourante de participer au choix des experts à désigner ou de se conformer à la procédure prévue par l’art. 72bis RAI si l’expertise comprend au moins trois disciplines médicales (cf. ATAS/404/2013 ). 15.    Il se justifie en conséquence d’admettre le recours, d’annuler la décision du 23 février 2015 et de renvoyer la cause à l’intimé pour instruction complémentaire au sens des considérants qui précèdent.![endif]&gt;![if&gt; La recourante obtenant gain de cause, une indemnité de CHF 2’500.- lui sera accordée à titre de participation à ses frais et dépens (art. 61 let. g LPGA; art. 6 du règlement sur les frais, émoluments et indemnités en matière administrative du 30 juillet 1986 [RFPA - E 5 10.03]). Étant donné que la procédure n'est plus gratuite depuis le 1 er juillet 2006 (art. 69 al. 1bis LAI), il y a lieu de condamner l'intimé au paiement d'un émolument de CHF 1’000.- au vu du sort du recours.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