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A/1035/2021 vom 22. Juli 2022</w:t>
      </w:r>
    </w:p>
    <w:p>
      <w:r>
        <w:t>GE Cour de justice, 2022-07-22, FR</w:t>
      </w:r>
    </w:p>
    <w:p>
      <w:r>
        <w:rPr>
          <w:b/>
        </w:rPr>
        <w:t xml:space="preserve">Quelle: </w:t>
      </w:r>
      <w:r>
        <w:t>https://mcp.opencaselaw.ch/entscheid/ge_gerichte_A_1035_2021</w:t>
      </w:r>
    </w:p>
    <w:p>
      <w:r>
        <w:t>FR: GE_GERICHTE A/1035/2021 du 22 juillet 2022</w:t>
      </w:r>
    </w:p>
    <w:p>
      <w:r>
        <w:t>IT: GE_GERICHTE A/1035/2021 del 22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Le délai de recours est de trente jours (art. 56 LPGA ; art. 62 al. 1 de la loi sur la procédure administrative du 12 septembre 1985 [LPA - E 5 10]). ![endif]&gt;![if&gt; Interjeté dans la forme et le délai prévus par la loi, le recours est recevable.</w:t>
      </w:r>
    </w:p>
    <w:p>
      <w:r>
        <w:rPr>
          <w:b/>
        </w:rPr>
        <w:t>E. 3</w:t>
      </w:r>
    </w:p>
    <w:p>
      <w:r>
        <w:t>Le litige porte sur le droit de l’assuré à une rente d’invalidité, plus particulièrement sur la question de savoir si son état de santé s’est aggravé depuis le 16 décembre 2010. Il y a à cet égard lieu de rappeler que par arrêt du 4 décembre 2019 ( 9C_413/2019 ), le Tribunal fédéral a annulé la décision de l’OAI du 2 mai 2018 niant le droit de l’assuré à une rente d’invalidité au motif qu’il n’y avait pas eu d’aggravation de son état de santé postérieurement au 15 décembre 2010, ainsi que l’arrêt de la chambre de céans du 30 avril 2019 ( ATAS/381/2019 ) l’a confirmé. ![endif]&gt;![if&gt;</w:t>
      </w:r>
    </w:p>
    <w:p>
      <w:r>
        <w:rPr>
          <w:b/>
        </w:rPr>
        <w:t>E. 4</w:t>
      </w:r>
    </w:p>
    <w:p>
      <w:r>
        <w:t>![endif]&gt;![if&gt;</w:t>
      </w:r>
    </w:p>
    <w:p>
      <w:r>
        <w:rPr>
          <w:b/>
        </w:rPr>
        <w:t>E. 4.1</w:t>
      </w:r>
    </w:p>
    <w:p>
      <w:r>
        <w:t>Cela étant, l’assuré ayant invoqué une violation de l’art. 44 LPGA, au motif qu’un tiers médecin avait participé à l’expertise sans que son nom ne lui ait été communiqué, le Tribunal fédéral a, dans son arrêt du 4 décembre 2019, examiné la question de savoir si l’expertise du 11 juillet 2017 réalisait les exigences de cette disposition légale. Considérant que « dans ces circonstances, dans lesquelles les experts désignés ont accompli personnellement les tâches fondamentales d'expertise, le fait que l'assuré n'a pas eu connaissance du nom des médecins auxiliaires, qui ne sont intervenus que de manière ponctuelle dans le cadre de l'expertise, ne constitue pas une violation si grave de ses droits de participation ou d'être entendu qu'elle ne serait pas susceptible de réparation. À cette fin, il convient de placer le recourant dans la situation dans laquelle il peut reconnaître s'il entend ou non soulever un motif de récusation à l'encontre du ou des médecins auxiliaires impliqués », le Tribunal fédéral a admis le recours et renvoyé la cause à l’OAI « pour qu'il procède aux démarches nécessaires pour que le nom du ou des médecins dont les docteurs N______ et M______ s'étaient adjoints l'assistance soi(en)t communiqué(s) au recourant et que celui-ci puisse se prononcer sur un éventuel motif de récusation » et rende une nouvelle décision sur le droit de l’assuré à une rente d'invalidité.</w:t>
      </w:r>
    </w:p>
    <w:p>
      <w:r>
        <w:rPr>
          <w:b/>
        </w:rPr>
        <w:t>E. 4.2</w:t>
      </w:r>
    </w:p>
    <w:p>
      <w:r>
        <w:t>Dûment informé par l’OAI du nom des médecins ayant participé à la rédaction du rapport d’expertise du 11 juillet 2017, soit le Dr P______ et la Dresse Q______, l’assuré a en l’occurrence sollicité leur récusation, aux motifs que : - ni l’un, ni l’autre ne sont spécialisés dans les domaines sur lesquels a porté l’expertise ; - et que la Dresse Q______ a exercé durant plusieurs années comme médecin cheffe du SMR.</w:t>
      </w:r>
    </w:p>
    <w:p>
      <w:r>
        <w:rPr>
          <w:b/>
        </w:rPr>
        <w:t>E. 4.3</w:t>
      </w:r>
    </w:p>
    <w:p>
      <w:r>
        <w:t>Il s’agit ainsi de se déterminer, en tout premier lieu, sur la demande de récusation du Dr P______ et de la Dresse Q______ ayant œuvré en tant que médecins auxiliaires dans la réalisation de l’expertise des Drs M______ et N______.</w:t>
      </w:r>
    </w:p>
    <w:p>
      <w:r>
        <w:rPr>
          <w:b/>
        </w:rPr>
        <w:t>E. 4.4</w:t>
      </w:r>
    </w:p>
    <w:p>
      <w:r>
        <w:t>Selon l'art. 44 LPGA, si l'assureur doit recourir aux services d'un expert indépendant pour élucider les faits, il donne connaissance du nom de celui-ci aux parties ; celles-ci peuvent récuser l'expert pour des raisons pertinentes et présenter des contre-propositions. La communication du nom de l'expert doit notamment permettre à l'assuré de reconnaître s'il s'agit d'une personne à l'encontre de laquelle il pourrait disposer d'un motif de récusation (ATF 146 V 9 consid. 4.2). Lorsque l'assureur social et l'assuré ne s'entendent pas sur le choix de l'expert, l'administration doit rendre une décision directement soumise à recours (ATF 137 V 210 consid. 3.4.2.6 ; ATF 138 V 318 consid. 6.1). Les principes posés par la jurisprudence en relation avec l'art. 44 LPGA, tant sous l'angle des droits de participation de l'assuré que des exigences en matière de substitution de l'expert mandaté et de l'obligation de communiquer le nom des médecins mandatés préalablement à l'expertise, respectivement le droit de l'assuré de connaître ce nom, concerne la personne qui est chargée par l'assurance-invalidité (ci-après : AI) d'effectuer l'expertise. Cette obligation ne s'étend pas au nom du tiers qui assiste l'expert pour des activités annexes ne faisant pas partie des tâches fondamentales d'expertise. On ne saurait en revanche considérer comme un simple auxiliaire accomplissant une tâche secondaire le médecin chargé par l'expert d'établir l'anamnèse de base de la personne soumise à l'expertise, d'analyser et de résumer le dossier médical ou de relire le rapport pour vérifier la pertinence de ses conclusions. L'activité intellectuelle déployée par le médecin dans ces situations peut en effet avoir une influence sur le résultat de l'expertise. Par exemple, la démarche consistant à établir le résumé du dossier médical implique une analyse comprenant déjà une certaine marge d'interprétation. Même si le résumé ne doit contenir que des extraits des pièces du dossier, il repose sur une sélection des dates, informations et données qui sont considérées comme déterminantes pour son auteur. Une telle sélection contribue au résultat de l'expertise. Les tâches d’analyse et de relecture du dossier ne peuvent pas non plus être considérées comme secondaires, puisque les médecins intervenant à ce titre contribuent au résultat de l'expertise. En conséquence, leur nom doit être communiqué au préalable à l'assuré, conformément à l'art. 44 LPGA, et le non-respect de cette exigence constitue une violation de ses droits de participation et d'être entendu. Le Tribunal fédéral a cependant considéré que lorsque, comme en l’espèce, les experts en charge d’examiner un assuré ont conjointement établi le rapport après qu'ils en ont discuté à la suite de leur lecture du dossier et de leur examen et ont vérifié la conformité du résumé aux pièces du dossier à leur disposition, le fait que l'assuré n'ait pas eu connaissance du nom des médecins intervenus que de manière ponctuelle dans le cadre de l'expertise ne constitue pas une violation si grave de ses droits de participation ou d'être entendu qu'elle ne serait pas susceptible de réparation. À cette fin, il convient de placer l’assuré dans la situation dans laquelle il peut reconnaître s'il entend ou non soulever un motif de récusation à l'encontre du ou des médecins auxiliaires impliqués (ATF 146 V 9 consid. 4.2.3, 4.3.2 et 4.4). La chambre de céans a déjà eu l’occasion de s’interroger sur la nécessité pour des médecins tiers de collaborer à la rédaction d’une expertise ( ATAS/641/2021 ). Elle a à cet égard déjà fait part de ses difficultés à comprendre l’opportunité de ces interventions, dès lors que les experts prennent connaissance du dossier entier et que le relecteur ne peut modifier les conclusions du rapport, selon la pratique alors décrite par le O______. Il y a toutefois lieu de rappeler que l'expert jouit d'une large autonomie dans la manière de conduire son expertise, s'agissant notamment des modalités de l'examen clinique et du choix des examens complémentaires à effectuer (arrêt du Tribunal fédéral 9C_812/2014 du 16 février 2015 consid. 4.1), de sorte que le juge n’est pas fondé à exclure la participation de médecins tiers dans l’établissement d’un rapport d’expertise – sous réserve du respect des droits de l’assuré en matière de participation et du cadre du mandat d’expertise.</w:t>
      </w:r>
    </w:p>
    <w:p>
      <w:r>
        <w:rPr>
          <w:b/>
        </w:rPr>
        <w:t>E. 4.5</w:t>
      </w:r>
    </w:p>
    <w:p>
      <w:r>
        <w:t>Dans leur rapport d’expertise du 11 juillet 2017, les Drs M______ et N______ ont à cet égard précisé en préambule que le dossier était analysé et résumé par un médecin ne participant pas aux examens. Leur rapport final était en outre soumis en dernière relecture à un médecin n’ayant pas examiné l’assuré afin de juger de la clarté du texte et de la pertinence des conclusions. Par courrier du 21 janvier 2020, le O______ a précisé que : « si le Dr P______, spécialiste en médecine physique et réadaptation a certes préparé le dossier, les experts responsables de cette expertise, à savoir les Drs M______ et N______, ont néanmoins pu prendre connaissance de l’intégralité du dossier lequel leur a été mis à disposition avant de procéder à leurs examens et à leur travail d’expertise. Il convient de préciser que le rôle du préparateur consiste à répertorier les pièces du dossier et à les citer en donnant un aperçu succinct sans élaboration ni interprétation. L’expertise a ensuite été relue par Mme le Dr Q______, spécialiste en médecine interne et pneumologie. Celle-ci a exclusivement vérifié la cohérence du texte final, les relecteurs n’étant en effet pas habilités à modifier l’avis et les décisions des experts. En effet, les experts du O______ bénéficient de la collaboration des équipes administratives et médicales au O______, lesquelles n’ont toutefois aucun pouvoir décisionnaire sur les expertises rédigées par les experts et leurs conclusions ».</w:t>
      </w:r>
    </w:p>
    <w:p>
      <w:r>
        <w:rPr>
          <w:b/>
        </w:rPr>
        <w:t>E. 4.6</w:t>
      </w:r>
    </w:p>
    <w:p>
      <w:r>
        <w:t>Il est vrai que le Dr P______ et la Dresse Q______ ne sont pas spécialistes FMH, ni en neurologie, ni en orthopédie. Ce qui importe toutefois, c’est que les Drs N______ et M______, qui se sont vus confier la mission d’examiner l’assuré, le soient. Le Dr P______ et la Dresse Q______ ne sont par ailleurs intervenus que pour accomplir des tâches secondaires, soit répertorier et citer les pièces du dossier, relire et vérifier la cohérence du texte final, tâches qui ne nécessitent pas de connaissances spécialisées dans les disciplines ayant fait l'objet d'un examen et qu’ils n’ont eu aucun pouvoir décisionnaire.</w:t>
      </w:r>
    </w:p>
    <w:p>
      <w:r>
        <w:rPr>
          <w:b/>
        </w:rPr>
        <w:t>E. 4.7</w:t>
      </w:r>
    </w:p>
    <w:p>
      <w:r>
        <w:t>L’OAI a confirmé que la Dresse Q______ avait travaillé au sein du SMR. On ne voit pas que son impartialité puisse être mise en doute pour ce seul motif, étant par ailleurs rappelé qu’elle n’était précisément pas le médecin mandaté pour réaliser l’expertise. On peut également rappeler que les rapports du SMR ne sont pas nécessairement dénués de toute valeur probante et il est admissible que l'OAI, ou la juridiction cantonale, se fonde de manière déterminante sur leur contenu.</w:t>
      </w:r>
    </w:p>
    <w:p>
      <w:r>
        <w:rPr>
          <w:b/>
        </w:rPr>
        <w:t>E. 4.8</w:t>
      </w:r>
    </w:p>
    <w:p>
      <w:r>
        <w:t>L’assuré reproche à l’OAI de n’avoir pas cherché à éclaircir les liens pouvant unir le docteur F______, dont l’expertise avait été jugée non probante par la chambre de céans ( ATAS/1240/2012 ) au docteur U, spécialiste FMH orthopédie. Il n’apparaît toutefois pas que ce dernier ait participé de quelle que manière que ce soit à l’expertise du 11 juillet 2017, de sorte qu’il n’y a pas lieu d’approfondir la question d’éventuels liens entre les deux médecins.</w:t>
      </w:r>
    </w:p>
    <w:p>
      <w:r>
        <w:rPr>
          <w:b/>
        </w:rPr>
        <w:t>E. 4.9</w:t>
      </w:r>
    </w:p>
    <w:p>
      <w:r>
        <w:t>Il y a lieu de conclure, au vu de ce qui précède, qu’aucune des causes de récusation soulevée par l’assuré ne peut être retenue. Aussi, l’expertise du 11 juillet 2017 ne saurait-elle être écartée d’emblée.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6</w:t>
      </w:r>
    </w:p>
    <w:p>
      <w:r>
        <w:t>![endif]&gt;![if&gt;</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6.4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6.5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6.6</w:t>
      </w:r>
    </w:p>
    <w:p>
      <w:r>
        <w:t>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![endif]&gt;![if&gt;</w:t>
      </w:r>
    </w:p>
    <w:p>
      <w:r>
        <w:rPr>
          <w:b/>
        </w:rPr>
        <w:t>E. 8.1</w:t>
      </w:r>
    </w:p>
    <w:p>
      <w:r>
        <w:t>En l’espèce, l’OAI a confirmé, s’agissant de la période postérieure au 15 décembre 2010, le degré d’invalidité de 31 % déjà retenu dans sa décision du même jour. Il s’est fondé, d’une part, sur le rapport d’expertise du 11 juillet 2017, dont il considère que la valeur probante a été confirmée par la chambre de céans et n’a pas été remise en question sur le fond par le Tribunal fédéral dans son arrêt du 4 décembre 2019 ( 9C_413/2019 ), et, d’autre part, sur les résultats de l’instruction complémentaire que lui a demandé de mener la Haute Cour dans son arrêt du 24 mars 2016 ( 9C_371/2015 ), et à l’issue de laquelle aucune aggravation de l’état de santé de l’assuré depuis le 15 décembre 2010 n’a été mise en évidence.</w:t>
      </w:r>
    </w:p>
    <w:p>
      <w:r>
        <w:rPr>
          <w:b/>
        </w:rPr>
        <w:t>E. 8.2</w:t>
      </w:r>
    </w:p>
    <w:p>
      <w:r>
        <w:t>Il y a tout d'abord lieu de constater qu’en réalité, et contrairement aux allégués de l’OAI, le Tribunal fédéral ne s’est pas prononcé sur la question de la valeur probante de l’expertise du 11 juillet 2017. Il est vrai que dans son arrêt du 30 avril 2019 ( ATAS/381/2019 ), la chambre de céans l’avait quant à elle admise et avait partant pris en compte les conclusions des experts selon lesquelles le recourant continuait à disposer d’une pleine capacité de travail dans une activité adaptée après le 15 décembre 2010. Le Tribunal fédéral a toutefois annulé cet arrêt le 4 décembre 2019 ( 9C_413/2019 ). Il convient dès lors de se prononcer à nouveau sur cette question.</w:t>
      </w:r>
    </w:p>
    <w:p>
      <w:r>
        <w:rPr>
          <w:b/>
        </w:rPr>
        <w:t>E. 8.3</w:t>
      </w:r>
    </w:p>
    <w:p>
      <w:r>
        <w:t>La chambre de céans avait retenu que l'expertise des docteurs M______ et N______ du 11 juillet 2017 comprenait sur le plan formel tous les éléments nécessaires pour se voir reconnaître une pleine valeur probante, puisque ces médecins avaient pris connaissance du dossier du recourant, établi son anamnèse, recueilli ses plaintes et relaté les résultats de leurs examens cliniques. Sur le fond, les Drs M______ et N______ avaient, dans leur expertise du 11 juillet 2017, constaté que sur le plan orthopédique, l’assuré présentait surtout des troubles dégénératifs pluri-étagés avec un canal cervical étroit. Ces cervicalgies avaient certainement une origine dégénérative et avaient été exacerbées par les quatre accidents subis. La situation actuelle était stabilisée et les plaintes de l’assuré, quoique mal systématisées, étaient constantes et de description identique depuis environ 2001. Sur le plan neurologique, seules pouvaient être retenues une cervicalgie chronique simple depuis 2001 et une distorsion de la colonne cervicale de grade I selon l’échelle de la Québec Task Force à la suite de l’accident de 2005. La situation ne s’était pas aggravée depuis 2010. La chambre de céans avait considéré, dans son arrêt du 30 avril 2019, que les conclusions du rapport d’expertise étaient soigneusement motivées et convaincantes. Il n’y a pas de raison d’en juger autrement. Force est ainsi de confirmer la valeur probante de l’expertise du 11 juillet 2017 et partant de reprendre ses conclusions, étant rappelé que si le Tribunal fédéral avait annulé l’arrêt de la chambre de céans du 30 avril 2019 et renvoyé le dossier à l’OAI, c’était uniquement pour que celui-ci procède aux démarches nécessaires pour que le nom ou les noms des médecins dont les Drs M______ et N______ s’étaient adjoints l’assistance soi(en)t communiqué(s) au recourant et que celui-ci puisse se prononcer sur un éventuel motif de récusation. Il y a en conséquence lieu de retenir que la capacité de travail de l’assuré dans une activité adaptée est entière après le 15 décembre 2010, ce jusqu’à l’expertise du 11 juillet 2017.</w:t>
      </w:r>
    </w:p>
    <w:p>
      <w:r>
        <w:rPr>
          <w:b/>
        </w:rPr>
        <w:t>E. 9</w:t>
      </w:r>
    </w:p>
    <w:p>
      <w:r>
        <w:t>Appréciation d'avis médicaux du dossier ![endif]&gt;![if&gt; 9.1         Êtes-vous d'accord avec les avis médicaux du SMR et des médecins traitants rendus depuis l’expertise du 11 juillet 2017 ? En particulier avec les diagnostics posés, les limitations fonctionnelles constatées, l’estimation de la capacité de travail et son évolution ? Si non, pourquoi ?![endif]&gt;![if&gt; 10.         Quel est le pronostic ? ![endif]&gt;![if&gt; 11.         Des mesures de réadaptation professionnelle sont-elles envisageables ? ![endif]&gt;![if&gt; 12.         Faire toutes autres observations ou suggestions utiles. ![endif]&gt;![if&gt; E.     Invite les experts à faire une appréciation consensuelle du cas s’agissant de toutes les problématiques ayant des interférences entre elles, notamment l’appréciation de la capacité de travail résiduelle.![endif]&gt;![if&gt; F.      Invite les experts à déposer leur rapport en trois exemplaires dans les meilleurs délais auprès de la chambre de céans.![endif]&gt;![if&gt; G.    Réserve le fond ainsi que le sort des frais jusqu’à droit jugé au fond.![endif]&gt;![if&gt; La greffière Marie NIERMARÉCHAL La présidente Fabienne MICHON RIEBEN Une copie conforme de la présente ordonnance est notifiée aux parties par le greffe le</w:t>
      </w:r>
    </w:p>
    <w:p>
      <w:r>
        <w:rPr>
          <w:b/>
        </w:rPr>
        <w:t>E. 9.1</w:t>
      </w:r>
    </w:p>
    <w:p>
      <w:r>
        <w:t>Une IRM de la colonne cervicale réalisée par le Centre d’imagerie de Lancy le 9 mars 2020 a révélé la présence d’une myélopathie cervicale qui ne figurait pas sur les documents d’imagerie dont on disposait jusqu’en 2013. Une telle atteinte peut fonder une aggravation. C’est du reste en prenant connaissance de cette IRM que le médecin du SMR a souhaité en juin 2020 que l’instruction soit reprise. Après avoir interrogé les Drs R______, S______ et T______, il a en définitive jugé que l’état de santé de l’assuré ne s’était pas aggravé depuis les conclusions des experts en « 2017 et 2018 » et que son dernier rapport du 7 février 2020 demeurait dès lors valable.</w:t>
      </w:r>
    </w:p>
    <w:p>
      <w:r>
        <w:rPr>
          <w:b/>
        </w:rPr>
        <w:t>E. 9.2</w:t>
      </w:r>
    </w:p>
    <w:p>
      <w:r>
        <w:t>Dans ses rapports des 14 mai et 27 août 2020, la Dresse R______ a indiqué que l’assuré présentait un canal cervical étroit à plusieurs niveaux, le plus important C3-C4 avec une myélopathie cervicale-S/p contusion médullaire, ainsi que des protrusions importantes aux niveaux en-dessous, a souligné à diverses reprises que des clarifications devaient être apportées et a proposé plusieurs examens chez le Dr S______. Elle a en l’état conclu qu’une activité professionnelle légère respectant les limitations était envisageable, tout en recommandant d'investiguer encore la colonne lombaire avec une IRM pour comprendre les douleurs qui irradient dans le MlD.</w:t>
      </w:r>
    </w:p>
    <w:p>
      <w:r>
        <w:rPr>
          <w:b/>
        </w:rPr>
        <w:t>E. 9.3</w:t>
      </w:r>
    </w:p>
    <w:p>
      <w:r>
        <w:t>Dans ses rapports des 28 mai et 30 juillet 2020, le Dr S______ a retenu, à titre de diagnostics avec répercussion sur la capacité de travail, des troubles dégénératifs de la colonne cervicale avec canal cervical étroit C3-C4 et une myélopathie cervicale démontrée par l'IRM. Il est vrai que, selon lui, il n’y a pas de signes compatibles avec une atteinte radiculaire de type lésionnelle du membre supérieur droit dans le cadre de cervicalgies avec des douleurs du membre supérieur du côté droit, que les potentiels évoqués moteurs enregistrés au niveau des quatre membres sont dans la norme avec une conduction corticospinale normale au niveau des quatre membres, que les potentiels évoqués sensitifs enregistrés par stimulation du nerf médian aux membres supérieurs et également aux membres inférieurs sont en faveur d'une conduction afférente aux quatre membres normale, que l’absence de signes de dénervation aiguë dans les myotomes C4 à D1 parle contre une légion radiculaire à ces niveaux, et qu’il n’y a pas d'argument pour un syndrome du tunnel carpien au membre supérieur droit. Il en déduit toutefois qu’« il s'agit donc d’une irritation radiculaire du membre supérieur droit et [ ] n'expliquant pas les symptômes au niveau du membre inférieur raison pour laquelle, il faudrait compléter le bilan radiologique par une IRM lombaire actuellement puis dorsale si l’IRM lombaire ne montre pas d'anomalie. [Il] reste à disposition pour revoir le patient pour compléter le bilan par un examen électroneuromyographique des membres inférieurs ». Il évalue par ailleurs la capacité de travail à 80 % dans une activité adaptée, sans expliquer pour quelle(s) raison(s) il retient ce taux. Dans son avis du 24 novembre 2020, le médecin du SMR se contente d’en prendre note sans le discuter.</w:t>
      </w:r>
    </w:p>
    <w:p>
      <w:r>
        <w:rPr>
          <w:b/>
        </w:rPr>
        <w:t>E. 9.4</w:t>
      </w:r>
    </w:p>
    <w:p>
      <w:r>
        <w:t>Dans son rapport du 26 octobre 2020, le Dr T______ indique que l’assuré souffre de difficultés mnésiques et attentionnelles, ainsi que de discrets troubles neurocognitifs. Selon lui, la symptomatologie douloureuse tend à s’aggraver, invalidante et nécessitant la prise de médicaments antalgiques régulièrement.</w:t>
      </w:r>
    </w:p>
    <w:p>
      <w:r>
        <w:rPr>
          <w:b/>
        </w:rPr>
        <w:t>E. 9.5</w:t>
      </w:r>
    </w:p>
    <w:p>
      <w:r>
        <w:t>Force est de constater, au vu de ces rapports médicaux, que l’état de santé de l’assuré s’est vraisemblablement, au degré requis par la jurisprudence, aggravé depuis l’expertise du 11 juillet 2017, de sorte qu’une expertise s’impose à nouveau, comprenant les volets neurologie et orthopédie. Elle sera confiée à la docteure V______, médecin interne neurologue, à la docteure W______, cheffe de clinique superviseur au service de neurologie, au docteur Z______, orthopédiste, et au docteur Y______, superviseur au service de chirurgie orthopédique et traumatologie de l’appareil moteur, lesquels exercent au sein des HUG. * * * * * * PAR CES MOTIFS, LA CHAMBRE DES ASSURANCES SOCIALES : Statuant préparatoirement I.          Ordonne une expertise neurologique et orthopédique de Monsieur A______. ![endif]&gt;![if&gt; 1.        Commet à ces fins la docteure V______, médecin interne neurologue, la docteure W______, cheffe de clinique superviseur au service de neurologie, le docteur Z______, orthopédiste, et le docteur Y______, superviseur au service de chirurgie orthopédique et traumatologie de l’appareil moteur, lesquels exercent au sein des Hôpitaux universitaires de Genève (HUG), sis rue Gabrielle-Perret-Gentil 4, 1205 Genève.![endif]&gt;![if&gt; Dit que la mission d’expertise sera la suivante : A.    Prendre connaissance du dossier de la cause.![endif]&gt;![if&gt; B.     Si nécessaire, prendre tous renseignements auprès des médecins et spécialistes ayant traité la personne expertisée.![endif]&gt;![if&gt; C.     Examiner et entendre la personne expertisée et, si nécessaire, ordonner d'autres examens, voire s’adjoindre le concours d’un neuropsychologue s’agissant des examens neuropsychologiques.![endif]&gt;![if&gt; D.    Établir un rapport comprenant les éléments et les réponses aux questions suivantes : ![endif]&gt;![if&gt; 1. Quelle est l’anamnèse détaillée ? ![endif]&gt;![if&gt; 2. Décrire les activités quotidiennes de la personne expertisée, avec une journée standard. ![endif]&gt;![if&gt; 3. Quelles sont les plaintes de la personne expertisée ? ![endif]&gt;![if&gt; 4. Quelles sont vos constatations objectives ? ![endif]&gt;![if&gt; 5. Quels sont les diagnostics (selon la classification internationale en cas de troubles psychiques) ? ![endif]&gt;![if&gt; Préciser quels critères de classification sont remplis et de quelle manière (notamment l’étiologie et la pathogénèse). 5.1         Avec répercussion sur la capacité de travail (en mentionnant les dates d'apparition) ;![endif]&gt;![if&gt; 5.2         Sans répercussion sur la capacité de travail (en mentionnant les dates d'apparition) ;![endif]&gt;![if&gt; 5.3         Quel est le degré de gravité de chacun des troubles diagnostiqués (faible, moyen, grave) ?![endif]&gt;![if&gt; 5.4         Les atteintes et les plaintes de la personne expertisée correspondent-elles à un substrat organique objectivable ?![endif]&gt;![if&gt; 5.5         L’état de santé de l’expertisé du point de vue neurologique et/ou orthopédique s’est-il amélioré / détérioré depuis l’expertise du 15 décembre 2010 ? Et depuis celle du 11 juillet 2017 ?![endif]&gt;![if&gt; 5.6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5.7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5.7.1   Dans l’affirmative, considérez-vous que cela suffise à exclure une atteinte à la santé significative ?![endif]&gt;![if&gt; 5.7.2   Est-ce que le tableau clinique est cohérent, compte tenu du ou des diagnostic(s) retenu(s) ou y a-t-il des atypies ?![endif]&gt;![if&gt; 5.7.3   Est-ce que ce qui est connu de l’évolution correspond à ce qui est attendu pour le ou les diagnostic(s) retenu(s) ?![endif]&gt;![if&gt; 6. Limitations fonctionnelles ![endif]&gt;![if&gt; Indiquer les limitations fonctionnelles en relation avec chaque diagnostic (en mentionnant leur date d’apparition) : 6.1         dans l’activité habituelle ;![endif]&gt;![if&gt; 6.2         dans une activité adaptée.![endif]&gt;![if&gt; 6.3         Les plaintes sont-elles objectivées ?![endif]&gt;![if&gt; 7. Capacité de travail ![endif]&gt;![if&gt; 7.1         La personne expertisée est-elle capable d’exercer une activité lucrative adaptée à ses limitations fonctionnelles ?![endif]&gt;![if&gt; 7.1.1   Si non, ou seulement partiellement, pourquoi ? Quelles sont les limitations fonctionnelles qui entrent en ligne de compte ?![endif]&gt;![if&gt; 7.1.2   Si oui, quel est le domaine d’activité lucrative adaptée ? À quel taux ? Depuis quelle date ?![endif]&gt;![if&gt; 7.1.3   Dire s’il y a une diminution de rendement et la chiffrer. ![endif]&gt;![if&gt; 7.2         Comment la capacité de travail de la personne assurée a-t-elle évolué depuis l’expertise du 15 décembre 2010 ? Et depuis celle du 11 juillet 2017 ?![endif]&gt;![if&gt; 7.3         Des mesures médicales sont-elles nécessaires préalablement à la reprise d’une activité lucrative ? Si oui, lesquelles ?![endif]&gt;![if&gt; 7.4         Quel est votre pronostic quant à l’exigibilité de la reprise d’une activité lucrative ?![endif]&gt;![if&gt; 8. Traitement ![endif]&gt;![if&gt; 8.1         Examen du traitement suivi par la personne expertisée et analyse de son adéquation.![endif]&gt;![if&gt; 8.2         Effectuer un dosage sanguin des traitements antalgiques.![endif]&gt;![if&gt; 8.3         La personne expertisée a-t-elle fait preuve de résistance à l’égard des traitements proposés ? La compliance est-elle bonne ? ![endif]&gt;![if&gt; 8.4         Dans quelle mesure les traitements ont-ils été mis à profit ou négligés ?![endif]&gt;![if&gt; 8.5         Propositions thérapeutiques et analyse de leurs effets sur la capacité de travail de la personne expertisée.![endif]&gt;![if&gt;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