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A/1031/2023 vom 2. Mai 2023</w:t>
      </w:r>
    </w:p>
    <w:p>
      <w:r>
        <w:t>GE Cour de justice, 2023-05-02, FR</w:t>
      </w:r>
    </w:p>
    <w:p>
      <w:r>
        <w:rPr>
          <w:b/>
        </w:rPr>
        <w:t xml:space="preserve">Quelle: </w:t>
      </w:r>
      <w:r>
        <w:t>https://mcp.opencaselaw.ch/entscheid/ge_gerichte_A_1031_2023</w:t>
      </w:r>
    </w:p>
    <w:p>
      <w:r>
        <w:t>FR: GE_GERICHTE A/1031/2023 du 2 mai 2023</w:t>
      </w:r>
    </w:p>
    <w:p>
      <w:r>
        <w:t>IT: GE_GERICHTE A/1031/2023 del 2 maggio 2023</w:t>
      </w:r>
    </w:p>
    <w:p>
      <w:pPr>
        <w:pStyle w:val="Heading2"/>
      </w:pPr>
      <w:r>
        <w:t>Erwägungen</w:t>
      </w:r>
    </w:p>
    <w:p>
      <w:r>
        <w:rPr>
          <w:b/>
        </w:rPr>
        <w:t>E. 1</w:t>
      </w:r>
    </w:p>
    <w:p>
      <w:r>
        <w:t>Le recours est interjeté en temps utile et devant la juridiction compétente (art. 132 de la loi sur l’organisation judiciaire du 26 septembre 2010 - LOJ - E 2 05 ; art. 62 al. 1 let. a de la loi sur la procédure administrative du 12 septembre 1985 - LPA - E 5 10).![endif]&gt;![if&gt;</w:t>
      </w:r>
    </w:p>
    <w:p>
      <w:r>
        <w:rPr>
          <w:b/>
        </w:rPr>
        <w:t>E. 2</w:t>
      </w:r>
    </w:p>
    <w:p>
      <w:r>
        <w:t>Les décisions sur effet suspensif et mesures provisionnelles sont prises par le président, respectivement par le vice-président, ou en cas d’empêchement de ceux-ci, par un juge (art. 21 al. 2 LPA ; 9 al. 1 du règlement interne de la chambre administrative du 26 mai 2020).![endif]&gt;![if&gt;</w:t>
      </w:r>
    </w:p>
    <w:p>
      <w:r>
        <w:rPr>
          <w:b/>
        </w:rPr>
        <w:t>E. 2.1</w:t>
      </w:r>
    </w:p>
    <w:p>
      <w:r>
        <w:t>Aux termes de l’art. 66 LPA, sauf disposition légale contraire, le recours a effet suspensif à moins que l’autorité qui a pris la décision attaquée n’ait ordonné l’exécution nonobstant recours (al. 1) ; toutefois, lorsqu’aucun intérêt public ou privé prépondérant ne s’y oppose, la juridiction de recours peut, sur la demande de la partie dont les intérêts sont gravement menacés, retirer ou restituer l’effet suspensif (al. 3).![endif]&gt;![if&gt;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ATA/1244/2015 du 17 novembre 2015 consid. 2 ; ATA/1110/2015 du 16 octobre 2015 consid. 3 ; ATA/997/2015 du 25 septembre 2015 consid. 3). Elles ne sauraient, en principe tout au moins, anticiper le jugement définitif ni équivaloir à une condamnation provisoire sur le fond, pas plus qu’aboutir abusivement à rendre d’emblée illusoire la portée du procès au fond (Isabelle HÄNER, Vorsorgliche Massnahmen in Verwaltungsverfahren und Verwaltungsprozess in RDS 1997 II 253-420, p. 265). L’octroi de mesures provisionnelles, dont fait partie la restitution et le retrait de l’effet suspensif, présuppose l’urgence, à savoir que le refus de les ordonner crée pour l’intéressé la menace d’un dommage difficile à réparer (ATF 130 II 149 consid. 2.2 ; 127 II 132 consid. 3 = RDAF 2002 I 405 ; du 18 septembre 2018).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w:t>
      </w:r>
    </w:p>
    <w:p>
      <w:r>
        <w:rPr>
          <w:b/>
        </w:rPr>
        <w:t>E. 2.2</w:t>
      </w:r>
    </w:p>
    <w:p>
      <w:r>
        <w:t>Selon l’art 21 al. 3 de la loi générale relative au personnel de l’administration cantonale, du pouvoir judiciaire et des établissements publics médicaux du 4 décembre 1997 (LPAC - B 5 05), l'autorité compétente peut résilier les rapports de service du fonctionnaire pour un motif fondé. Elle motive sa décision. Elle est tenue, préalablement à la résiliation, de proposer des mesures de développement et de réinsertion professionnels et de rechercher si un autre poste au sein de l'administration cantonale correspond aux capacités de l'intéressé. Les modalités sont fixées à l’art. 46A RPAC.![endif]&gt;![if&gt; Selon l’art. 22 LPAC, il y a motif fondé lorsque la continuation des rapports de service n'est plus compatible avec le bon fonctionnement de l'administration, soit notamment en raison de : l'insuffisance des prestations (let. a), l'inaptitude à remplir les exigences du poste (let. b) et la disparition durable d'un motif d'engagement (let. c). Si la chambre administrative de la Cour de justice retient que la résiliation des rapports de service ne repose pas sur un motif fondé, elle ordonne à l’autorité compétente la réintégration (art. 31 al. 2 LPAC).</w:t>
      </w:r>
    </w:p>
    <w:p>
      <w:r>
        <w:rPr>
          <w:b/>
        </w:rPr>
        <w:t>E. 2.3</w:t>
      </w:r>
    </w:p>
    <w:p>
      <w:r>
        <w:t>En l'espèce, si la recourante devait obtenir gain de cause sur la question de l'existence d'un motif fondé de licenciement, sa réintégration serait obligatoirement ordonnée par la chambre de céans (art. 31 al. 2 LPAC ; ATA/348/2019 du 2 avril 2019 consid. 7).![endif]&gt;![if&gt; Devant la chambre de céans, la recourante se plaint de ce que l’autorité intimée s’est contentée de prononcer, sans aucune motivation, le caractère exécutoire de la décision, alors qu’en principe les décisions ont effet suspensif. Il ressort toutefois de la décision entreprise que le retrait de l’effet suspensif est motivé par l’intérêt public prépondérant à son exécution immédiate. L’intimé a ainsi appliqué la jurisprudence constante de la chambre administrative, rendue en matière de résiliation des rapports de service, selon laquelle l'intérêt public à la préservation des finances de l’État est important et prime l’intérêt financier du recourant à percevoir son salaire durant la procédure ( ATA/227/2023 du 7 mars 2023 ; ATA/466/2021 du 28 avril 2021 ; ATA/1043/2020 du 19 octobre 2020 ; ATA/1559/2019 du 21 octobre 2019). La recourante se plaint de ce que la décision la prive de tout revenu à compter du 31 mai 2023. Elle se limite toutefois à invoquer ce point, sans démontrer en quoi la décision entreprise lui causerait un dommage difficile à réparer. Elle ne prétend en particulier pas qu’elle n’aurait pas droit aux indemnités de chômage. La chambre de céans relève au demeurant que, selon la jurisprudence du Tribunal fédéral, un employé rétabli dans son statut de fonctionnaire a droit au paiement du salaire qui aurait été dû si les rapports de service n'avaient jamais cessé (arrêts du Tribunal fédéral 8C_635/2021 du 13 janvier 2022 consid. 6.3 ; 8C_546/2020 du 25 janvier 2021 consid. 6). Quant à l'atteinte à sa réputation et à son avenir professionnel, force est de rappeler la jurisprudence de la chambre de céans, selon laquelle un dommage psychologique ou d'image résultant du fait de la libération de travailler, de la suspension provisoire ou de la résiliation des rapports de service ne saurait à lui seul justifier la réintégration à titre provisoire ( ATA/663/2018 du 26 juin 2018 consid.4b ; ATA/443/2016 du 26 mai 2016 consid. 6 ; ATA/1383/2015 du 23 décembre 2015 consid. 2). L’argumentation, toute générale, selon laquelle « l’ensemble des paramètres du dossier » permettrait de retenir que l’intérêt privé de la recourante à réintégrer son poste serait prépondérant, ne suffit pas à justifier une réintégration immédiate. Enfin, et sans préjudice de l’examen au fond, les chances de succès du recours ne paraissent pas à ce point manifestes qu’elles justifieraient à elles seules la restitution de l’effet suspensif. La requête de restitution de l’effet suspensif sera, partant, rejetée.</w:t>
      </w:r>
    </w:p>
    <w:p>
      <w:r>
        <w:rPr>
          <w:b/>
        </w:rPr>
        <w:t>E. 3</w:t>
      </w:r>
    </w:p>
    <w:p>
      <w:r>
        <w:t>Les frais de la procédure seront réservés jusqu'à droit jugé au fond.![endif]&gt;![if&gt; 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communique la présente décision à Me Thomas Barth, avocat de la recourante ainsi qu'au Conseil d'État. La 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