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A/1025/2015 vom 14. Juli 2015</w:t>
      </w:r>
    </w:p>
    <w:p>
      <w:r>
        <w:t>GE Cour de justice, 2015-07-14, FR</w:t>
      </w:r>
    </w:p>
    <w:p>
      <w:r>
        <w:rPr>
          <w:b/>
        </w:rPr>
        <w:t xml:space="preserve">Quelle: </w:t>
      </w:r>
      <w:r>
        <w:t>https://mcp.opencaselaw.ch/entscheid/ge_gerichte_A_1025_2015</w:t>
      </w:r>
    </w:p>
    <w:p>
      <w:r>
        <w:t>FR: GE_GERICHTE A/1025/2015 du 14 juillet 2015</w:t>
      </w:r>
    </w:p>
    <w:p>
      <w:r>
        <w:t>IT: GE_GERICHTE A/1025/2015 del 14 luglio 2015</w:t>
      </w:r>
    </w:p>
    <w:p>
      <w:pPr>
        <w:pStyle w:val="Heading2"/>
      </w:pPr>
      <w:r>
        <w:t>Erwägungen</w:t>
      </w:r>
    </w:p>
    <w:p>
      <w:r>
        <w:rPr>
          <w:b/>
        </w:rPr>
        <w:t>E. 2</w:t>
      </w:r>
    </w:p>
    <w:p>
      <w:r>
        <w:t>ème section dans la cause M. A______ contre PRISON DE CHAMP-DOLLON EN FAIT 1) Le 6 mars 2015, M. A______ a été écroué en détention préventive à la prison de Champ-Dollon (ci-après : la prison).![endif]&gt;![if&gt; Procédure A/1068/2015 2) Le 7 mars 2015 à 18h30, M. A______ a été placé à la cellule 257 avec un codétenu. Il a immédiatement formulé des plaintes et a dû être repoussé dans la cellule (sans échange de coups) dès lors qu'il voulait en sortir sans autorisation.![endif]&gt;![if&gt; 3) Par décision du 8 mars 2015, après que M. A______ ait été entendu, la direction de la prison lui a notifié, oralement à 10h45 et par écrit à 18h30, une punition consistant en son placement de trois jours en cellule forte pour trouble à l'ordre de l'établissement et refus d'obtempérer. Cette sanction, déclarée exécutoire nonobstant recours, a été exécutée du 7 mars 2015 à 19h18 au 10 mars 2015 à 19h18. ![endif]&gt;![if&gt; M. A______ avait abusé de la sonnette en peu de temps afin de pouvoir s’entretenir avec le service médical. Suite au refus du gardien, le détenu avait frappé violemment contre la porte. 4) Par décision du 10 mars 2015, après que M. A______ ait été entendu, la direction de la prison lui a notifié, oralement à 13h35 et par écrit à 18h30, une punition de cinq jours de cellule forte pour injures envers le personnel. Cette sanction, déclarée exécutoire nonobstant recours, a été exécutée du 10 mars 2015 à 19h18 au 15 mars 2015 à 19h18. ![endif]&gt;![if&gt; Le détenu avait insulté, menacé et provoqué un gardien. 5) Par acte du 17 mars 2015, M. A______ a recouru contre ces deux décisions datés du 8 mars et 10 mars 2015 auprès de la Chambre administrative de la Cour de justice (ci-après : la chambre administrative).![endif]&gt;![if&gt; Il ne voulait pas rester dans sa cellule car il avait peur de son codétenu et avait fait appel aux gardiens, ces derniers l'avaient agressé physiquement et verbalement, ils avaient aussi refusé d'appeler le service médical tout en le plaçant directement en cellule forte. 6) Dans sa réponse du 30 avril 2015, la prison a conclu au rejet du recours « avec suite de frais ».![endif]&gt;![if&gt; Procédure A/1025/2015 7) Par décision du 18 mars 2015, après que M. A______ eut été entendu, la direction de la prison lui a notifié, oralement à 9h05 et par écrit à 18h30, une punition de cinq jours de cellule forte pour injures et menaces envers le personnel. Cette sanction, déclarée exécutoire nonobstant recours, a été exécutée du 17 mars 2015 à 18h10 au 22 mars 2015 à 18h10.![endif]&gt;![if&gt; 8) Par acte du 23 mars 2015, M. A______ a recouru contre la décision du 18 mars 2015 auprès de la chambre administrative.![endif]&gt;![if&gt; Le recourant a expliqué que les gardiens avaient cru qu'il s'adressait à eux alors qu'en réalité, il parlait à un autre codétenu. 9) Dans sa réponse du 29 avril 2015, la prison a conclu au rejet du recours avec suite de frais.![endif]&gt;![if&gt; 10) Par courrier du 4 juin 2015, le directeur de la prison avait informé la chambre administrative que M. A______ avait été libéré le 3 juin 2015. ![endif]&gt;![if&gt; 11) Le 17 juin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causes A/1025/2015 et A/1068/2015 se rapportant à une situation identique concernant la même personne, elles seront jointes en application de l'art. 70 LPA sous le n° de cause A/1025/2015.![endif]&gt;![if&gt; 3)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![endif]&gt;![if&gt;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b. Concernant la let. b de l’art. 60 LPA,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Pierre MOOR/Etienne POLTIER, Droit administratif, vol. 2, 3 ème éd., 2011, n. 5.7.2.3 ; Thierry TANQUEREL, Manuel de droit administratif, 2011,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précité consid. 1.2 ; 8C_194/2011 consid. 2.2 ; 1C_76/2009 du 30 avril 2009 consid. 2 ; ATA/195/2007 précité ; ATA/175/2007 du 17 avril 2007 ; ATA/915/2004 du 23 novembre 2004) ou déclaré irrecevable (ATF 118 Ia 46 consid. 3c ; arrêt du Tribunal fédéral 1C_69/2007 du 11 juin 2007 consid. 2.3 ; ATA/514/2009 du 13 octobre 2009 ; ATA/195/2007 du 24 avril 2007 ; ATA/640/2005 du 27 septembre 2005 ; ATA/552/2005 du 16 août 2005). 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1C_477/2012 du 27 mars 2013 consid. 2.3 ; 1C_9/2012 du 7 mai 2012 consid. 1.2 ; 6B_34/2009 du 20 avril 2009 consid. 3 ; ATA/253/2013 du 23 avril 2013 ; ATA/153/2013 du 19 mars 2013 ; ATA/224/2012 du 17 avril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précité consid. 1.3). d. Concernant le placement d'un prisonnier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 ATA/510/2014 du 1 er juillet 2014 consid. 3b ; ATA/183/2013 du 19 mars 2013 ; ATA/775/2012 du 13 novembre 2012 ; ATA/134/2009 du 17 mars 2009). 4) a. En l'espèce, le recourant, alors détenu à la prison a fait l'objet de trois sanctions sous forme de placement en cellule forte les 8, 10 et 18 mars 2015. La durée de ces placements était d'une fois trois jours, puis deux fois cinq jours. Ces punitions ont été immédiatement exécutées. ![endif]&gt;![if&gt; b. Il ressort de la procédure que le recourant a été mis en liberté le 3 juin 2014 après exécution complète de ses sanctions. Aucun élément du dossier ne laisse à penser qu'il est susceptible d'être incarcéré à nouveau, et par voie de conséquence d'être encore une fois sanctionné par un placement en cellule forte. Il n'y a dès lors aucune raison de passer outre l'exigence de l'intérêt actuel ( ATA/510/2014 précité ; ATA/441/2013 du 30 juillet 2013 ; ATA/775/2012 précité ; ATA/541/2010 du 4 août 2010, confirmé par arrêt du Tribunal fédéral 1B_295/2010 du 14 septembre 2010). 5) Vu ce qui précède, le recours sera déclaré irrecevable.![endif]&gt;![if&gt; 6) Vu la nature du litige, aucun émolument ne sera perçu (art. 12 al. 1 du règlement sur les frais, émoluments et indemnités en procédure administrative du 30 juillet 1986 - RFPA - E 5 10.03).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