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A/1024/2013 vom 28. August 2013</w:t>
      </w:r>
    </w:p>
    <w:p>
      <w:r>
        <w:t>GE Cour de justice, 2013-08-28, FR</w:t>
      </w:r>
    </w:p>
    <w:p>
      <w:r>
        <w:rPr>
          <w:b/>
        </w:rPr>
        <w:t xml:space="preserve">Quelle: </w:t>
      </w:r>
      <w:r>
        <w:t>https://mcp.opencaselaw.ch/entscheid/ge_gerichte_A_1024_2013</w:t>
      </w:r>
    </w:p>
    <w:p>
      <w:r>
        <w:t>FR: GE_GERICHTE A/1024/2013 du 28 août 2013</w:t>
      </w:r>
    </w:p>
    <w:p>
      <w:r>
        <w:t>IT: GE_GERICHTE A/1024/2013 del 28 agosto 2013</w:t>
      </w:r>
    </w:p>
    <w:p>
      <w:pPr>
        <w:pStyle w:val="Heading2"/>
      </w:pPr>
      <w:r>
        <w:t>Erwägungen</w:t>
      </w:r>
    </w:p>
    <w:p>
      <w:r>
        <w:rPr>
          <w:b/>
        </w:rPr>
        <w:t>E. 11</w:t>
      </w:r>
    </w:p>
    <w:p>
      <w:r>
        <w:t>Le 12 août 2013, les parties ont été informées que la cause était gardée à juger en application de l'art. 72 de la loi sur la procédure administrative du 12 septembre 1985 (LPA - E 5 10). EN DROIT Interjeté en temps utile devant la juridiction compétente, le recours est recevable (art. 132 de la loi sur l'organisation judiciaire du 26 septembre 2010 - LOJ - E 2 05 ; art. 62 al. 1 let. a LPA).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ATA/402/2013 du 25 juin 2013 ; ATA/258/2011 du 19 avril 2011). En l’espèce, l’avance de frais demandée par pli recommandé n’a pas été versée, la recourante n’ayant pas retiré l’envoi dans le délai de garde postale. a. Les délais fixés par le juge ont un caractère impératif. Ils peuvent être prolongés sur requête motivée de la personne à laquelle ils sont imposés si cette dernière effectue une démarche dans ce sens avant l’échéance du délai imparti (art. 16 al. 2 LPA). b.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 ème éd., 2000, p. 229 et les références citées). S’agissant d’un acte soumis à réception, telle une décision ou une communication de procédure, la notification est réputée faite au moment où l’envoi entre dans la sphère de pouvoir de son destinataire (P.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 Dans le cas particulier, le pli du 3 avril 2013 contenant la demande d’avance de frais n’a pu être distribué le 5 avril 2013 et n’a pas été retiré dans le délai de garde qui venait à échéance le 12 avril 2013. A cette date, le pli recommandé était censé avoir été distribué. Le délai de paiement n'était pas échu, ni sur le point de l'être, puisqu'il courait encore pendant vingt et un jours. La recourante ne se prévaut d’aucun motif exceptionnel qui autoriserait une restitution du délai a posteriori. Le fait allégué d'être souvent absente pour raison professionnelle non seulement n'en constitue pas un, mais encore, selon la jurisprudence susmentionnée, emporte au contraire l'obligation pour l'intéressée de s'organiser de manière à ce que ce type de communication lui parvienne en temps utiles. Le jugement du TAPI du 5 juin 2013 ne peut ainsi qu’être confirmé. Manifestement mal fondé, le recours sera rejeté, sans instruction préalable, en application de l’art. 72 LPA. Conformément à la pratique de la chambre administrative, aucun émolument ne sera mis à la charge de la recourante, bien qu’elle succombe (art. 87 LPA) ( ATA/403/2013 déjà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