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A/1023/2018 vom 24. Januar 2018</w:t>
      </w:r>
    </w:p>
    <w:p>
      <w:r>
        <w:t>GE Cour de justice, 2018-01-24, FR</w:t>
      </w:r>
    </w:p>
    <w:p>
      <w:r>
        <w:rPr>
          <w:b/>
        </w:rPr>
        <w:t xml:space="preserve">Quelle: </w:t>
      </w:r>
      <w:r>
        <w:t>https://mcp.opencaselaw.ch/entscheid/ge_gerichte_A_1023_2018</w:t>
      </w:r>
    </w:p>
    <w:p>
      <w:r>
        <w:t>FR: GE_GERICHTE A/1023/2018 du 24 janvier 2018</w:t>
      </w:r>
    </w:p>
    <w:p>
      <w:r>
        <w:t>IT: GE_GERICHTE A/1023/2018 del 24 gennaio 2018</w:t>
      </w:r>
    </w:p>
    <w:p>
      <w:pPr>
        <w:pStyle w:val="Heading2"/>
      </w:pPr>
      <w:r>
        <w:t>Volltext</w:t>
      </w:r>
    </w:p>
    <w:p>
      <w:r>
        <w:t>Genève Cour de justice (Cour de droit public) Chambre des assurances sociales 01.10.2018 A/1023/2018</w:t>
      </w:r>
    </w:p>
    <w:p>
      <w:r>
        <w:t>A/1023/2018 ATAS/858/2018 du 01.10.2018 ( AI ) , IRRECEVABLE rÉpublique et canton de genÈve POUVOIR JUDICIAIRE A/1023/2018 ATAS/858/2018 COUR DE JUSTICE Chambre des assurances sociales Arrêt du 1 er octobre 2018 6 ème Chambre En la cause Monsieur A______, domicilié à GENEVE recourant contre OFFICE DE L'ASSURANCE-INVALIDITÉ DU CANTON DE GENÈVE, sis rue des Gares 12, GENÈVE intimé Vu en fait la décision du 24 janvier 2018 de l’Office de l’assurance-invalidité (ci-après : l’OAI) refusant d’augmenter l’allocation pour impotent de degré faible, allouée à Monsieur A______ (ci-après : l’assuré) ; Vu la notification de cette décision à l’assuré le 1 er février 2018, selon l’extrait du suivi des envois de la Poste Suisse S.A, à l’adresse ______ chemin B______, 1203 Genève ; Vu le recours du 22 mars 2018 de l’assuré à l’encontre de la décision précitée auprès de la chambre des assurances sociales de la Cour de justice (A/1023/2018). Vu le courrier du 26 avril 2018 de la chambre de céans impartissant au recourant un délai pour faire valoir d’éventuelles circonstances l’ayant empêché d’agir dans le délai légal de trente jours ; Vu la réponse du 7 mai 2018 du recourant indiquant qu’il avait obtenu les clés de son nouveau logement le 9 février, que dès le 21 février il était en repos balnéaire à Saint-Etienne, qu’il avait commencé son déménagement en mars, qu’il était une personne à mobilité réduite et pouvait difficilement se rendre à la Poste, qu’il n’était plus à la Poste des Charmilles et avait effectué une déviation, qu’il avait signalé à l’office cantonal de la population et des migrations (ci-après : l’OCPM) le 9 avril 2018 sa nouvelle adresse et qu’étant invalide, on ne pouvait lui octroyer les mêmes délais qu’à une personne valide ; Vu l’écriture du 31 mai 2018 du recourant résumant des décisions et courriers de son dossier AI depuis le 5 avril 2012 et relevant que de février 2018 à ce jour, il avait été très occupé avec son déménagement et n’avait pas eu le temps de répondre avant ; Vu la réponse du 5 juillet 2018 de l’OAI concluant au rejet du recours ; Vu la réplique du 7 août 2018 du recourant transmettant un chargé de pièces ; Vu que selon le fichier de l’OCPM, le recourant a été domicilié ______ chemin B______, 1203 Genève du 1 er septembre 2006 au 14 février 2018, et ______ Cité C______, 1203 Genève dès le 15 février 2018.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arrêt non publié L. du 11 septembre 1989, K 104/88, consid. 4; ATFA du 26 août 2005, cause I 461/04) ;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 Qu’en l'occurrence, il n'est pas contesté que le recours a été interjeté au-delà du délai légal de trente jours ; Qu’en effet, la décision litigieuse a été notifiée le 1 er février 2018 à l’adresse valable du recourant, ______chemin B______, 1203 Genève, soit antérieurement à son changement de domicile annoncé à l’OCPM le 15 février 2018 ; Qu’en conséquence, le délai pour recourir venait à échéance le 5 mars 2018 ; Qu’interjeté par devant la chambre de céans le 22 mars 2018, le recours est tardif ; Que, par ailleurs, le recourant n’a pas prétendu avoir communiqué à l’intimé un changement d’adresse antérieurement au 15 février 2018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Qu’en l'espèce, une restitution du délai de recours au sens de l'art. 41 al. 1 LPGA ne se justifie pas ; que les motifs invoqués par le recourant (difficultés de se rendre à la poste ; délai légal devant être prolongé pour les personnes invalides ; temps consacré à son déménagement) ne peuvent être considéré comme un cas de force majeure ; Qu’en l'absence d’un motif valable de restitution de délai, le recours doit être déclaré irrecevable pour cause de tardiveté. PAR CES MOTIFS, LA CHAMBRE DES ASSURANCES SOCIALES : Statuant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