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A/1018/2005 vom 26. Oktober 2004</w:t>
      </w:r>
    </w:p>
    <w:p>
      <w:r>
        <w:t>GE Cour de justice, 2004-10-26, FR</w:t>
      </w:r>
    </w:p>
    <w:p>
      <w:r>
        <w:rPr>
          <w:b/>
        </w:rPr>
        <w:t xml:space="preserve">Quelle: </w:t>
      </w:r>
      <w:r>
        <w:t>https://mcp.opencaselaw.ch/entscheid/ge_gerichte_A_1018_2005</w:t>
      </w:r>
    </w:p>
    <w:p>
      <w:r>
        <w:t>FR: GE_GERICHTE A/1018/2005 du 26 octobre 2004</w:t>
      </w:r>
    </w:p>
    <w:p>
      <w:r>
        <w:t>IT: GE_GERICHTE A/1018/2005 del 26 ottobre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26 octobre 2004, le Tribunal administratif a rejeté, dans la mesure où il était recevable, le recours interjeté le 17 août 2004 par Monsieur T.______ contre la décision du service des contraventions du 6 août 2004 et a mis à la charge du recourant un émolument de CHF 750.-. Dit arrêt a été communiqué aux parties le 8 novembre 2004 et réceptionné par le mandataire de M. T.______ le 9 novembre 2004.</w:t>
      </w:r>
    </w:p>
    <w:p>
      <w:r>
        <w:rPr>
          <w:b/>
        </w:rPr>
        <w:t>E. 2</w:t>
      </w:r>
    </w:p>
    <w:p>
      <w:r>
        <w:t>En l’espèce, l’arrêt du Tribunal administratif du 26 octobre 2004 a été réceptionné par le mandataire du recourant le 9 novembre 2004. Dès lors, en agissant le 4 avril 2005 le demandeur est manifestement au-delà du délai de trente jours précité.</w:t>
      </w:r>
    </w:p>
    <w:p>
      <w:r>
        <w:rPr>
          <w:b/>
        </w:rPr>
        <w:t>E. 3</w:t>
      </w:r>
    </w:p>
    <w:p>
      <w:r>
        <w:t>En conséquence, la demande, qui doit être traitée comme une réclamation sur émolument, sera déclarée irrecevable.</w:t>
      </w:r>
    </w:p>
    <w:p>
      <w:r>
        <w:rPr>
          <w:b/>
        </w:rPr>
        <w:t>E. 4</w:t>
      </w:r>
    </w:p>
    <w:p>
      <w:r>
        <w:t>Conformément à la pratique du Tribunal administratif, aucun émolument ne sera mis à la charge de M. T.______ pour la procédure de réclamation sur émolument.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