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A/1006/2024 vom 27. März 2024</w:t>
      </w:r>
    </w:p>
    <w:p>
      <w:r>
        <w:t>GE Cour de justice, 2024-03-27, FR</w:t>
      </w:r>
    </w:p>
    <w:p>
      <w:r>
        <w:rPr>
          <w:b/>
        </w:rPr>
        <w:t xml:space="preserve">Quelle: </w:t>
      </w:r>
      <w:r>
        <w:t>https://mcp.opencaselaw.ch/entscheid/ge_gerichte_A_1006_2024</w:t>
      </w:r>
    </w:p>
    <w:p>
      <w:r>
        <w:t>FR: GE_GERICHTE A/1006/2024 du 27 mars 2024</w:t>
      </w:r>
    </w:p>
    <w:p>
      <w:r>
        <w:t>IT: GE_GERICHTE A/1006/2024 del 27 marzo 2024</w:t>
      </w:r>
    </w:p>
    <w:p>
      <w:pPr>
        <w:pStyle w:val="Heading2"/>
      </w:pPr>
      <w:r>
        <w:t>Regeste</w:t>
      </w:r>
    </w:p>
    <w:p>
      <w:r>
        <w:t>MESURE DE CONTRAINTE(DROIT DES ÉTRANGERS);DÉTENTION AUX FINS D'EXPULSION;LÉGALITÉ;PROCÉDURE DUBLIN | CEDH.3; LEI.80.al3; LEI.76a.al1; LEI.76a.al2; LEI.76a.al3.leta</w:t>
      </w:r>
    </w:p>
    <w:p>
      <w:pPr>
        <w:pStyle w:val="Heading2"/>
      </w:pPr>
      <w:r>
        <w:t>Volltext</w:t>
      </w:r>
    </w:p>
    <w:p>
      <w:r>
        <w:t>Genf Tribunal administratif de première instance en matière fiscale 27.03.2024 A/1006/2024 Genève Tribunal administratif de première instance en matière fiscale 27.03.2024 A/1006/2024 Ginevra Tribunal administratif de première instance en matière fiscale 27.03.2024 A/1006/2024</w:t>
      </w:r>
    </w:p>
    <w:p>
      <w:r>
        <w:t>MESURE DE CONTRAINTE(DROIT DES ÉTRANGERS);DÉTENTION AUX FINS D'EXPULSION;LÉGALITÉ;PROCÉDURE DUBLIN | CEDH.3; LEI.80.al3; LEI.76a.al1; LEI.76a.al2; LEI.76a.al3.leta</w:t>
      </w:r>
    </w:p>
    <w:p>
      <w:r>
        <w:t>A/1006/2024 JTAPI/278/2024 du 27.03.2024 ( MC ) , CONFIRME Descripteurs : MESURE DE CONTRAINTE(DROIT DES ÉTRANGERS);DÉTENTION AUX FINS D'EXPULSION;LÉGALITÉ;PROCÉDURE DUBLIN Normes : CEDH.3; LEI.80.al3; LEI.76a.al1; LEI.76a.al2; LEI.76a.al3.leta En fait En droit Par ces motifs RÉPUBLIQUE ET CANTON DE GENÈVE POUVOIR JUDICIAIRE A/1006/2024 MC JTAPI/278/2024 JUGEMENT DU TRIBUNAL ADMINISTRATIF DE PREMIÈRE INSTANCE du 27 mars 2024 dans la cause Monsieur A______ , représenté par Me Anna SERGUEEVA, avocate contre COMMISSAIRE DE POLICE EN FAIT 1.             Monsieur A______, né le ______ 1985, originaire d'Algérie, a déposé une demande d'asile en Suisse le 20 juin 2013, demande sur laquelle l'autorité fédérale compétente, désormais dénommée le secrétariat d'État aux migrations (ci‑après : SEM) n'est pas entré en matière, en application de l'art. 31a al. 2 let. d de la loi sur l’asile du 26 juin 1998 (LAsi - RS 142.31), et a, simultanément, prononcé son renvoi vers la Bulgarie, État Dublin responsable. L’exécution du renvoi de M. A______ a été confiée au canton de Zoug. Le transfert de l'intéressé vers la Bulgarie devait s'effectuer, sous réserve d'interruption ou de prolongation du délai de transfert, au plus tard le 5 janvier 2014. 2.             Le transfert de l'intéressé dans le délai précité ne s'est pas concrétisé. 3.             Le 5 octobre 2023, M. A______ a été appréhendé par les services de police français, alors qu'il était en possession d'objets provenant de cambriolages perpétrés en Suisse, à Genève, les 19 et 20 mai 2023. 4.             Le même jour, l'intéressé a été extradé en Suisse et incarcéré à la prison de Champ-Dollon dans l'attente de son jugement. 5.             Par jugement définitif et exécutoire du 29 janvier 2024, le Tribunal de police a déclaré M. A______ coupable de vol (art. 139 du Code pénal suisse du 21 décembre 1937 ; CP - RS 311.0), de tentative de vol (art. 139 cum 22 CP), de dommages à la propriété (art. 144 CP), de violation de domicile (art. 186 CP) et d'entrée illégale (art. 115 al. 1 let. a et b de la loi fédérale sur les étrangers et l'intégration du 16 décembre 2005 ; LEI - RS 142.20), l'a condamné à une peine privative de liberté de huit mois, sous déduction de 117 jours de détention avant jugement (dont 46 jours en exécution anticipée de peine ; art. 40 CP) et a ordonné son expulsion de Suisse pour une durée de cinq ans (art. 66a al. 1 CP). 6.             Par jugement du 6 mars 2024, le Tribunal d'application des peines et des mesures a ordonné la libération conditionnelle de M. A______ pour le 13 mars 2024. 7.             Le 14 mars 2024, à 10h16, le commissaire de police a émis un ordre de mise en détention administrative à l’encontre de M. A______ pour une durée de sept semaines sur la base de l’art. 76a LEI. Les démarches en vue de sa reprise en charge par un État Dublin (Pays-Bas, voire Croatie), en application de la réglementation Dublin, entamées le 28 février 2024, étaient en cours. Lors de son audition par la police, l’intéressé a déclaré qu’il était d’accord de retourner dans un État Dublin et qu’il préférait être renvoyé en Croatie, plutôt aux Pays-Bas. 8.             Par courrier du 22 mars 2024, reçu par le Tribunal administratif de première instance (ci-après : le tribunal) le 25 mars 2024, M. A______ a requis l’examen de la légalité et de l’adéquation de sa détention administrative, notamment en raison des conditions de détention à Favra. 9.             Le 25 mars 2024, le commissaire de police, sur demande du tribunal, a transmis son dossier. 10.         Dans le délai imparti, le conseil de M. A______ a présenté des observations. Compte tenu de la détention de 7 semaines demandée au sein de l’établissement de la Favra, son mandant s’opposait à sa détention. En effet, par jugement du 20 avril 2023, le tribunal de céans avait reconnu que les conditions de détention au sein de cet établissement étaient contraires à l’art. 3 de la Convention de sauvegarde des droits de l’homme et des libertés fondamentales du 4 novembre 1950 (CEDH - RS 0.101). Faute de solution alternative, il concluait à sa libération immédiate. EN DROIT 1.             Le tribunal est compétent pour examiner d’office la légalité et l’adéquation de la détention administrative (art. 115 al. 1 et 116 al. 1 de la loi sur l’organisation judiciaire du 26 septembre 2010 - LOJ - E 2 05 ; art. 7 al. 4 let. d LaLEtr).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demandé par acte du 22 mars 2024 reçu par le tribunal le 25 mars 2024, que ce dernier contrôle la légalité et l'adéquation de sa détention. 5.             Statuant ce jour, le tribunal respecte les délais légaux. 6.             Le tribunal peut confirmer, réformer ou annuler la décision du commissaire de police ; le cas échéant, il ordonne la mise en liberté de l'étranger (cf.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8.             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9.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10.         Selon l'art. 76a al. 2 LEI, les éléments concrets font craindre que l'étranger entende se soustraire à l'exécution du renvoi si : -          son comportement en Suisse ou à l'étranger permet de conclure qu'il refuse d'obtempérer aux instructions des autorités (let. b) ; -          a été condamné pour crime (let. h). 11.         Les motifs énumérés, de manière exhaustive, à l'art. 76a al. 2 LEI correspondent en principe à ceux déjà retenus aux art. 75 et 76 LEI (Gregor CHATTON/ Laurent MERZ in Code annoté de droit des migrations, volume II : loi sur les étrangers, n° 2.5 ad art. 76a, p. 808). 12.         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13.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14.         Selon l'art. 3 CEDH, nul ne peut être soumis à la torture ni à des peines ou traitements inhumains ou dégradants. 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 15.         La légalité de la détention administrative au sein de l’établissement de Favra, dans son principe, a encore dernièrement été confirmée par la chambre administrative de la Cour de justice (ci-après : chambre administrative), notamment les 23 février et 19 janvier 2024 ( ATA/235/2024 du 23 février 2024 et ATA/55/2024 du 19 janvier 2024). 16.         En l’espèce, M. A______ a été condamné par jugement définitif et exécutoire du 29 janvier 2024 par le tribunal de police pour notamment vol au sens de l’art. 139 CP, soit un crime. Ce dernier a en outre ordonné son expulsion judiciaire de Suisse pour une durée de cinq ans. Partant, c'est de manière tout à fait fondée que le commissaire de police a ordonné sa détention sur la base de l'art. 76a al. 1 et 2 let. h LEI, les conditions de la let. b apparaissant au demeurant également remplies vu les déclarations de l’intéressé et le comportement qu’il a adopté jusqu’ici. Par ailleurs, la détention respecte le principe de proportionnalité, aucune autre mesure moins incisive ne permettant de s’assurer de la présence de l’intéressé au moment où son renvoi devra être exécuté, celui-là n’ayant ni attaches ni lieu de résidence à Genève. Rien ne permet au surplus de considérer que les conditions de sa détention à Favra seraient illégales et/ou contraires à l’art. 3 CEDH. À cet égard, l’intéressé se contente d’invoquer des généralités. Dans ces conditions et dans les présentes circonstances, soit en particulier l’imminence de son renvoi et la nécessité des autorités suisses de s’assurer de son départ, rien ne permet de considérer que tel serait effectivement le cas et, partant, d’ordonner son transfert de Favra ou sa mise en liberté immédiate. Enfin, la durée de la détention décidée par le commissaire de police (soit sept semaines) respecte le cadre légal fixé par l'art. 76a al. 3 LEI et est adéquate pour assurer l'exécution du renvoi, étant relevé que les démarches en vue de la réadmission de M. A______ dans l’état Dublin responsable ont immédiatement été initiées et sont toujours en cours. 17.         Au vu de ce qui précède, il y a lieu de confirmer l’ordre de mise en détention administrative de l’intéressé pour une durée de sept semaines, soit jusqu'au 1 er mai 2024. 18.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émis par le commissaire de police le 14 mars 2024 à l’encontre de Monsieur A______ pour une durée de sept semaines, soit jusqu'au 1 er mai 2024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27 mars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