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A/1005/2024 vom 27. März 2024</w:t>
      </w:r>
    </w:p>
    <w:p>
      <w:r>
        <w:t>GE Cour de justice, 2024-03-27, FR</w:t>
      </w:r>
    </w:p>
    <w:p>
      <w:r>
        <w:rPr>
          <w:b/>
        </w:rPr>
        <w:t xml:space="preserve">Quelle: </w:t>
      </w:r>
      <w:r>
        <w:t>https://mcp.opencaselaw.ch/entscheid/ge_gerichte_A_1005_2024</w:t>
      </w:r>
    </w:p>
    <w:p>
      <w:r>
        <w:t>FR: GE_GERICHTE A/1005/2024 du 27 mars 2024</w:t>
      </w:r>
    </w:p>
    <w:p>
      <w:r>
        <w:t>IT: GE_GERICHTE A/1005/2024 del 27 marzo 2024</w:t>
      </w:r>
    </w:p>
    <w:p>
      <w:pPr>
        <w:pStyle w:val="Heading2"/>
      </w:pPr>
      <w:r>
        <w:t>Regeste</w:t>
      </w:r>
    </w:p>
    <w:p>
      <w:r>
        <w:t>MESURE DE CONTRAINTE(DROIT DES ÉTRANGERS);DÉTENTION AUX FINS D'EXPULSION;LÉGALITÉ;PROCÉDURE DUBLIN | CEDH.3; LEI.80a.al3; LEI.76a.al1; LEI.76a.al2; LEI.76a.al3.leta</w:t>
      </w:r>
    </w:p>
    <w:p>
      <w:pPr>
        <w:pStyle w:val="Heading2"/>
      </w:pPr>
      <w:r>
        <w:t>Volltext</w:t>
      </w:r>
    </w:p>
    <w:p>
      <w:r>
        <w:t>Genf Tribunal administratif de première instance en matière fiscale 27.03.2024 A/1005/2024 Genève Tribunal administratif de première instance en matière fiscale 27.03.2024 A/1005/2024 Ginevra Tribunal administratif de première instance en matière fiscale 27.03.2024 A/1005/2024</w:t>
      </w:r>
    </w:p>
    <w:p>
      <w:r>
        <w:t>MESURE DE CONTRAINTE(DROIT DES ÉTRANGERS);DÉTENTION AUX FINS D'EXPULSION;LÉGALITÉ;PROCÉDURE DUBLIN | CEDH.3; LEI.80a.al3; LEI.76a.al1; LEI.76a.al2; LEI.76a.al3.leta</w:t>
      </w:r>
    </w:p>
    <w:p>
      <w:r>
        <w:t>A/1005/2024 JTAPI/277/2024 du 27.03.2024 ( MC ) , CONFIRME Descripteurs : MESURE DE CONTRAINTE(DROIT DES ÉTRANGERS);DÉTENTION AUX FINS D'EXPULSION;LÉGALITÉ;PROCÉDURE DUBLIN Normes : CEDH.3; LEI.80a.al3; LEI.76a.al1; LEI.76a.al2; LEI.76a.al3.leta En fait En droit Par ces motifs RÉPUBLIQUE ET CANTON DE GENÈVE POUVOIR JUDICIAIRE A/1005/2024 MC JTAPI/277/2024 JUGEMENT DU TRIBUNAL ADMINISTRATIF DE PREMIÈRE INSTANCE du 27 mars 2024 dans la cause Monsieur A______ , représenté par Me Anna SERGUEEVA, avocate contre COMMISSAIRE DE POLICE EN FAIT 1.             Le prétendument dénommé A______ (aussi connu sous d'autres identités), né le ______ 1996 et originaire d'Egypte, mais démuni de tout document d'identité, a déposé en Suisse, le 6 juillet 2022, une demande d'asile, laquelle a fait l'objet d'une décision de non-entrée en matière et de renvoi. La prise en charge et l'exécution du renvoi de l'intéressé avaient été confiées au canton de B______. 2.             Entre les 29 janvier 2021 et 10 septembre 2023, l'intéressé a été condamné sept fois, pour entrée illégale, séjour illégal, opposition aux actes de l'autorité, contravention à la loi fédérale sur les stupéfiants et les substances psychotropes du 3 octobre 1951 (LStup - RS 812.121), vol d'importance mineure, violation de domicile, brigandage (art. 140 ch.1, al. 1 du Code pénal suisse du 21 décembre 1937 ; CP - RS 311.0), non-respect d'une assignation à un lieu de résidence ou d'une interdiction de pénétrer dans une région déterminée et rupture de ban, étant précisé que l'intéressé est sous le coup d'une mesure d'expulsion judiciaire du territoire suisse, prononcée par le Tribunal de police de Genève le 5 décembre 2022 pour une durée de cinq ans, mesure que l'autorité administrative compétente a décidé de ne pas reporter. 3.             Le 17 mars 2023, M. A______ a été transféré en France dans le cadre des Accords Dublin. 4.             Revenu en Suisse, l'intéressé a été interpellé outre-Sarine. 5.             Durant sa dernière incarcération, dans le canton de C______, M. A______ a été à nouveau auditionné par les services compétents – mandatés par l’office cantonal de la population et des migrations (ci‑après : OCPM) – dans le cadre de la procédure Dublin cat. III. 6.             En réponse à la requête du secrétariat d'État aux migrations (ci‑après : SEM), les autorités allemandes ont accepté, le 22 février 2024, le transfert de M. A______ sur leur territoire et l'autorité fédérale compétente a rendu à l'endroit de l'intéressé une décision de renvoi, au sens de l'art. 64a al.1 de la loi fédérale sur les étrangers et l'intégration du 16 décembre 2005 (LEI - RS 142.20), à destination de l'État Dublin responsable et chargé le canton de Genève de l'exécution de celle-ci. 7.             Cette décision a été notifiée à M. A______ le 1 er mars 2024. 8.             Le même jour, les services de police ont procédé à la réservation, en faveur de l'intéressé, d'un vol à destination de l'État Dublin responsable. 9.             À sa libération, le 5 mars 2024, l'intéressé a été acheminé – par Jail Train Street en provenance du canton de C______ – à Genève, où il a été remis entre les mains des services de police en vue de son refoulement. 10.         Le 5 mars 2024, à 17h35, le commissaire de police a émis un ordre de mise en détention administrative à l’encontre de M. A______ pour une durée de six semaines sur la base de l’art. 76a LEI. Il ressortait notamment du dossier que l’intéressé n'avait aucun lieu de résidence fixe en Suisse, ni aucun lien particulier démontré avec ce pays, ni non plus aucune source légale de revenu. Lors de son audition, ce dernier a déclaré qu’il était d’accord de retourner en Allemagne. 11.         Par courrier du 22 mars 2024, reçu par le Tribunal administratif de première instance (ci‑après :  le tribunal) le 25 mars 2024, M. A______ a requis l’examen de la légalité et de l’adéquation de sa détention administrative, notamment en raison des conditions de détention à Favra. 12.         Le 25 mars 2024, le commissaire de police, sur demande du tribunal, a transmis son dossier. 13.         Dans le délai imparti, le conseil de M. A______ a présenté des observations. Compte tenu de la détention de 7 (recte 6) semaines demandée au sein de l’établissement de la Favra, son mandant s’opposait à sa détention. En effet, par jugement du 20 avril 2023, le tribunal de céans avait reconnu que les conditions de détention au sein de cet établissement étaient contraires à l’art. 3 de la Convention de sauvegarde des droits de l’homme et des libertés fondamentales du 4 novembre 1950 (CEDH - RS 0.101). Faute de solution alternative, il concluait à sa libération immédiate. EN DROIT 1.             Le tribunal est compétent pour examiner d’office la légalité et l’adéquation de la détention administrative (art. 115 al. 1 et 116 al. 1 de la loi sur l’organisation judiciaire du 26 septembre 2010 - LOJ - E 2 05 ; art. 7 al. 4 let. d LaLEtr). 2.             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3.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 4.             En l'espèce, M. A______ a demandé par acte du 22 mars 2024 reçu par le tribunal le 25 mars 2024, que ce dernier contrôle la légalité et l'adéquation de sa détention. 5.             Statuant ce jour, le tribunal respecte les délais légaux. 6.             Le tribunal peut confirmer, réformer ou annuler la décision du commissaire de police ; le cas échéant, il ordonne la mise en liberté de l'étranger (cf. art. 9 al. 3 LaLEtr). 7.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8.             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9.             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10.         Selon l'art. 76a al. 2 LEI, les éléments concrets font craindre que l'étranger entende se soustraire à l'exécution du renvoi si : -          son comportement en Suisse ou à l'étranger permet de conclure qu'il refuse d'obtempérer aux instructions des autorités (let. b) ; -          il quitte la région qui lui est assignée ou pénètre dans une zone qui lui est interdite en vertu de l'art. 74 (let d) ; -          franchit la frontière malgré une interdiction d’entrée en Suisse (let. e) ; -          a été condamné pour crime (let. h). 11.         Les motifs énumérés, de manière exhaustive, à l'art. 76a al. 2 LEI correspondent en principe à ceux déjà retenus aux art. 75 et 76 LEI (Gregor CHATTON/ Laurent MERZ in Code annoté de droit des migrations, volume II : loi sur les étrangers, n° 2.5 ad art. 76a, p. 808). 12.         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 13.         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 14.         Selon l'art. 3 CEDH, nul ne peut être soumis à la torture ni à des peines ou traitements inhumains ou dégradants. Cette disposition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 15.         La légalité de la détention administrative au sein de l’établissement de Favra, dans son principe, a encore dernièrement été confirmée par la chambre administrative de la Cour de justice (ci-après : chambre administrative), notamment les 23 février et 19 janvier 2024 ( ATA/235/2024 du 23 février 2024 et ATA/55/2024 du 19 janvier 2024). 16.         En l’espèce, M. A______ fait l’objet d'une mesure d'expulsion judiciaire de Suisse, que l'autorité administrative compétente a décidé de ne pas reporter, étant par ailleurs rappelé que les autorités allemandes, pays dont la responsabilité Dublin a été établie, ont consenti au transfert de l'intéressé sur leur territoire. S'agissant des motifs présidant à sa mise en détention, l'intéressé a été condamné pour rupture de ban, étant rappelé que l’expulsion pénale vaut interdiction d'entrée en Suisse ( ATA/1179/2018 ), pour crime et non-respect d’une assignation à un lieu de résidence ou d'une interdiction de pénétrer dans une région déterminée. Partant, c'est de manière tout à fait fondée que le commissaire de police a ordonné sa détention sur la base de l'art. 76a al. 1 et 2 let. d, e et h LEI, les conditions de la let. b apparaissant au demeurant également remplies vu le comportement qu’il a adopté jusqu’ici. Par ailleurs, la détention respecte le principe de proportionnalité, aucune autre mesure moins incisive ne permettrait de s’assurer de la présence de l’intéressé au moment où son renvoi devra être exécuté, celui-là n’ayant ni attaches ni lieu de résidence à Genève. Rien ne permet au surplus de considérer que les conditions de sa détention à Favra seraient illégales et/ou contraires à l’art. 3 CEDH. À cet égard, l’intéressé se contente d’invoquer des généralités. Dans ces conditions et dans les présentes circonstances, soit en particulier l’imminence de son renvoi et la nécessité des autorités suisses de s’assurer de son départ, rien ne permet de considérer que tel serait effectivement le cas et, partant, d’ordonner son transfert de Favra ou sa mise en liberté immédiate. Enfin, la durée de la détention décidée par le commissaire de police (soit six semaines) respecte le cadre légal fixé par l'art. 76a al. 3 LEI et est adéquate pour assurer l'exécution du renvoi, étant relevé que les démarches en vue de la réadmission de M. A______ en Allemagne ont été immédiatement initiées et sont toujours en cours. 17.         Au vu de ce qui précède, il y a lieu de confirmer l'ordre de mise en détention administrative de M. A______ pour une durée de six semaines, soit jusqu'au 15 avril 2024. 18.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confirme l’ordre de mise en détention administrative émis par le commissaire de police le 5 mars 2024 à l’encontre de M. A______ pour une durée de six semaines, soit jusqu'au 15 avril 2024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 A______, à son avocat, au commissaire de police et au secrétariat d'État aux migrations. Genève, le 27 mars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