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A/1004/2023 vom 7. Juni 2024</w:t>
      </w:r>
    </w:p>
    <w:p>
      <w:r>
        <w:t>GE Cour de justice, 2024-06-07, FR</w:t>
      </w:r>
    </w:p>
    <w:p>
      <w:r>
        <w:rPr>
          <w:b/>
        </w:rPr>
        <w:t xml:space="preserve">Quelle: </w:t>
      </w:r>
      <w:r>
        <w:t>https://mcp.opencaselaw.ch/entscheid/ge_gerichte_A_1004_2023</w:t>
      </w:r>
    </w:p>
    <w:p>
      <w:r>
        <w:t>FR: GE_GERICHTE A/1004/2023 du 7 juin 2024</w:t>
      </w:r>
    </w:p>
    <w:p>
      <w:r>
        <w:t>IT: GE_GERICHTE A/1004/2023 del 7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droit de la recourante à des prestations de l’assurance-invalidité.</w:t>
      </w:r>
    </w:p>
    <w:p>
      <w:r>
        <w:rPr>
          <w:b/>
        </w:rPr>
        <w:t>E. 2.1</w:t>
      </w:r>
    </w:p>
    <w:p>
      <w:r>
        <w:t>Le 1 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été rendue postérieurement au 1 er janvier 2022, de sorte que les dispositions légales applicables seront citées ci-après dans leur nouvelle teneur (ATF 148 V 174 consid. 4.1).</w:t>
      </w:r>
    </w:p>
    <w:p>
      <w:r>
        <w:rPr>
          <w:b/>
        </w:rPr>
        <w:t>E. 2.2.1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2.2.2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w:t>
      </w:r>
    </w:p>
    <w:p>
      <w:r>
        <w:rPr>
          <w:b/>
        </w:rPr>
        <w:t>E. 2.2.3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2.2.4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2.3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w:t>
      </w:r>
    </w:p>
    <w:p>
      <w:r>
        <w:t>En l’occurrence, l’intimé s’est fondé, pour rendre la décision litigieuse, sur le rapport d’expertise du Dr F______ du 7 juillet 2022. Fondé sur toutes les pièces du dossier, comprenant une anamnèse, la description des plaintes de la recourante, ainsi que d’une journée-type, un examen clinique, des examens psychométriques, une analyse sanguine et d’urines, des diagnostics et limitations fonctionnelles clairs et une appréciation convaincante de la capacité de travail de la recourante, le rapport d’expertise répond aux critères jurisprudentiels précités pour qu’il lui soit reconnu une pleine valeur probante. L’expert a analysé les indicateurs jurisprudentiels pertinents. Il a notamment retenu que l’indice de gravité était absent en l’absence de limitations fonctionnelles significatives objectivables des ressources et en dehors d’une baisse légère du rendement en lien avec un trouble de l’attention. Le trouble de la personnalité émotionnellement labile de type impulsif et anxieuse, présent chez l’assurée depuis l’âge adulte, ne l’avait pas empêchée de gérer son quotidien sans limitations dans le passé et à travailler sans limitations ; il n’était pas décompensé selon la journée-type, sans hospitalisation psychiatrique et avec une vie conjugale stable. Au niveau du contexte social, l’assurée présentait un isolement social partiel mais pas total. L’expert a objectivé une cohérence moyenne entre plusieurs plaintes subjectives et le constat objectif, mais sans exagération volontaire des plaintes. L’assurée gardait des capacités et ressources personnelles suffisantes, sans nécessiter une aide indispensable dans le quotidien mais un partage des tâches et sans limitations d’un point de vue psychiatrique. La recourante conteste l’appréciation de l’expert selon laquelle sa capacité de travail serait de 100%, avec une diminution de 30%, dans son activité habituelle. Elle se plaint de ce qu’aucun médecin assurant son suivi n’aurait été contacté. Il ressort toutefois de l’expertise que le rapport médical de la Dre D______ du 27 mai 2021 a été pris en compte par l’expert. Ce dernier a toutefois retenu une discordance entre les éléments retenus par les psychiatres traitants de l’assurée et son examen clinique qui n’objectivait pas de limitations fonctionnelles. La recourante gérait son quotidien sans difficultés objectivables. Entendue en audience, la recourante a certes contesté cette appréciation, faisant valoir que ses activités quotidiennes étaient en réalité fortement entravées. Elle ne remet toutefois pas en cause les éléments retenus par l’expert sur la base de l’entretien approfondi. Or, il en ressort notamment que la recourante partageait des repas avec ses parents, faisait des activités avec sa compagne et jouait à des jeux de rôle avec ses amis. Elle faisait également du bricolage physique ou sur un logiciel. Elle partait en vacances avec sa compagne et faisait des activités culturelles pendant les week-ends. Ainsi, l’appréciation de l’expert, selon laquelle l’intéressée ne nécessitait pas d’aide significative durant la journée-type mais juste un partage des tâches, n’apparaît pas critiquable. Les plaintes subjectives exprimées en audience par la recourante ne se reflètent ainsi que partiellement dans sa journée-type, ce que l’expert avait d’ailleurs relevé, en retenant une cohérence moyenne entre ses plaintes subjectives et les constats objectifs. Enfin, en tant que la recourante se plaint d’une péjoration de son atteinte oculaire, force est de relever qu’il s’agit d’un élément nouveau, postérieur à la décision litigieuse. Ce point excède, dès lors, l'objet de la contestation. C'est le lieu de rappeler que,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La chambre de céans n’en tiendra ainsi pas compte, étant précisé que la recourante a indiqué en audience qu’elle déposerait une nouvelle demande en lien avec cette affection. Ainsi, en l’absence de pièces probantes produites par la recourante, aucun indice concret ne permet de douter du bien-fondé de l’expertise du Dr F______. Dans ces conditions, on ne saurait reprocher à l’intimé d’avoir suivi les conclusions de l’expertise quant à la capacité de l’assurée à exercer une activité habituelle à 100% avec une diminution de rendement de 30%. Or, un degré d’invalidité de 30% est insuffisant pour ouvrir droit à une rente.</w:t>
      </w:r>
    </w:p>
    <w:p>
      <w:r>
        <w:rPr>
          <w:b/>
        </w:rPr>
        <w:t>E. 4</w:t>
      </w:r>
    </w:p>
    <w:p>
      <w:r>
        <w:t>Reste à examiner si la recourante peut bénéficier d’une mesure de réadaptation.</w:t>
      </w:r>
    </w:p>
    <w:p>
      <w:r>
        <w:rPr>
          <w:b/>
        </w:rPr>
        <w:t>E. 4.1</w:t>
      </w:r>
    </w:p>
    <w:p>
      <w:r>
        <w:t>S’agissant d’éventuelles mesures de réadaptation, il sied de rappeler que,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que celui à des mesures de réadaptation (art. 21 al. 4 LPGA).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(cf. arrêt du Tribunal fédéral 9C_464/2009 du 31 mai 2010).</w:t>
      </w:r>
    </w:p>
    <w:p>
      <w:r>
        <w:rPr>
          <w:b/>
        </w:rPr>
        <w:t>E. 4.2</w:t>
      </w:r>
    </w:p>
    <w:p>
      <w:r>
        <w:t>En l’occurrence, il ressort de l’expertise que l’assurée n’a pas pu se former à la hauteur de son potentiel intellectuel en lien avec son trouble de l’attention depuis l’enfance. Entendue en audience, la recourante a invoqué son « peu d’expérience » et le fait qu’elle ne pouvait « compenser son manque de diplôme dans le domaine ». Or, une formation insuffisante ne relève pas de l’assurance-invalidité. L’intimé a du reste retenu que c’était dans son activité habituelle d’architecte de logiciel qu’elle pourrait réduire le mieux le dommage, car sa limitation fonctionnelle – soit sa difficulté à maintenir une activité soutenue – était respectée. De telles activités étaient envisageables en Ville de Genève, à l’État de Genève, et auprès d’associations et de fondations. Il convient ainsi de retenir que le marché du travail offre un nombre suffisant d'activités compatibles avec la limitation fonctionnelle de la recourante et son niveau de formation, de sorte que l’intimé était fondé à lui refuser l’octroi de mesures d’ordre professionnel.</w:t>
      </w:r>
    </w:p>
    <w:p>
      <w:r>
        <w:rPr>
          <w:b/>
        </w:rPr>
        <w:t>E. 5</w:t>
      </w:r>
    </w:p>
    <w:p>
      <w:r>
        <w:t>Au vu de ce qui précède, le recours sera rejeté La recourante, qui succombe, n'a pas droit à des dépens (art. 61 let. g LPGA a contrario ) et sera condamnée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