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ATA/9/2025 vom 7. Januar 2025</w:t>
      </w:r>
    </w:p>
    <w:p>
      <w:r>
        <w:t>GE Cour de justice, 2025-01-07, FR</w:t>
      </w:r>
    </w:p>
    <w:p>
      <w:r>
        <w:rPr>
          <w:b/>
        </w:rPr>
        <w:t xml:space="preserve">Quelle: </w:t>
      </w:r>
      <w:r>
        <w:t>https://mcp.opencaselaw.ch/entscheid/ge_gerichte_ATA_9_2025</w:t>
      </w:r>
    </w:p>
    <w:p>
      <w:r>
        <w:t>FR: GE_GERICHTE ATA/9/2025 du 7 janvier 2025</w:t>
      </w:r>
    </w:p>
    <w:p>
      <w:r>
        <w:t>IT: GE_GERICHTE ATA/9/2025 del 7 gennaio 2025</w:t>
      </w:r>
    </w:p>
    <w:p>
      <w:pPr>
        <w:pStyle w:val="Heading2"/>
      </w:pPr>
      <w:r>
        <w:t>Erwägungen</w:t>
      </w:r>
    </w:p>
    <w:p>
      <w:r>
        <w:rPr>
          <w:b/>
        </w:rPr>
        <w:t>E. 1</w:t>
      </w:r>
    </w:p>
    <w:p>
      <w:r>
        <w:t>La chambre de céans examine d’office et librement la recevabilité des recours qui lui sont soumis (ATA/925/2024 du 6 août 2024 consid. 1 ; ATA/602/2024 du 14 mai 2024 consid. 1).</w:t>
      </w:r>
    </w:p>
    <w:p>
      <w:r>
        <w:rPr>
          <w:b/>
        </w:rPr>
        <w:t>E. 1.1</w:t>
      </w:r>
    </w:p>
    <w:p>
      <w:r>
        <w:t>La décision litigieuse a pour objet la non-confirmation d’une promotion d’une fonctionnaire. La chambre de céans a déjà été amenée à juger que ces litiges n’entraient pas dans l’exclusion d’applicabilité de la loi sur la procédure administrative du 12 septembre 1985 (LPA - E 5 10) prévue à l’art. 2 let. d LPA qui soustrait l’application de cette loi aux procédures de promotions de la fonction publique. La contestation de non-confirmation de la promotion était une</w:t>
      </w:r>
    </w:p>
    <w:p>
      <w:r>
        <w:t>- 6/14 - A/1729/2024 contestation juridique qui devait bénéficier de la garantie de l’accès au juge en vertu des art. 29a de la Constitution fédérale de la Confédération suisse du 18 avril 1999 (Cst. - RS 101) et 6 § 1 de la Convention de sauvegarde des droits de l’homme et des libertés fondamentales du 4 novembre 1950 (CEDH - RS 0.101 ; ATA/1167/2023 du 31 octobre 2023).</w:t>
      </w:r>
    </w:p>
    <w:p>
      <w:r>
        <w:rPr>
          <w:b/>
        </w:rPr>
        <w:t>E. 1.2</w:t>
      </w:r>
    </w:p>
    <w:p>
      <w:r>
        <w:t>Interjeté, pour le surplus, en temps utile devant la juridiction compétente, le recours est donc recevable (art. 132 de la loi sur l'organisation judiciaire du 26 septembre 2010 - LOJ - E 2 05 ; art. 62 al. 1 let. a LPA).</w:t>
      </w:r>
    </w:p>
    <w:p>
      <w:r>
        <w:rPr>
          <w:b/>
        </w:rPr>
        <w:t>E. 2</w:t>
      </w:r>
    </w:p>
    <w:p>
      <w:r>
        <w:t>La recourante requiert l’audition de la commandante de la police. Cette dernière pourrait attester que son travail avait donné satisfaction, du fait que l’ensemble des objectifs étaient remplis et que le problème rencontré avec sa collègue devait être réglé par une réorganisation prévue.</w:t>
      </w:r>
    </w:p>
    <w:p>
      <w:r>
        <w:rPr>
          <w:b/>
        </w:rPr>
        <w:t>E. 2.1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 En outre, il n'implique pas le droit d'être entendu oralement, ni celui d'obtenir l'audition de témoins (ATF 134 I 140 consid. 5.3 ; 130 II 425 consid. 2.1).</w:t>
      </w:r>
    </w:p>
    <w:p>
      <w:r>
        <w:rPr>
          <w:b/>
        </w:rPr>
        <w:t>E. 2.2</w:t>
      </w:r>
    </w:p>
    <w:p>
      <w:r>
        <w:t>En l’espèce, les faits que la recourante entend prouver par l’audition requise ne sont pas nécessaires à la solution au litige, comme cela sera vu ci-dessous. La mesure demandée ne sera donc pas ordonnée.</w:t>
      </w:r>
    </w:p>
    <w:p>
      <w:r>
        <w:rPr>
          <w:b/>
        </w:rPr>
        <w:t>E. 3</w:t>
      </w:r>
    </w:p>
    <w:p>
      <w:r>
        <w:t>Dans un premier grief, la recourante soutient que l’application à sa promotion d’un temps d’essai, qui fonde la décision de non-confirmation, est dépourvue d’une base légale suffisante.</w:t>
      </w:r>
    </w:p>
    <w:p>
      <w:r>
        <w:rPr>
          <w:b/>
        </w:rPr>
        <w:t>E. 3.1</w:t>
      </w:r>
    </w:p>
    <w:p>
      <w:r>
        <w:t>L’autorité intimée estime ce grief tardif, parce que la décision fixant le temps d’essai à 24 mois, soit la décision de promotion du 17 juin 2022, n’avait pas été contestée, elle était entrée en force. La qualification de la promotion et les conséquences de l’absence de contestation de la part de la recourante souffriront de rester ouvertes, le grief devant être de toute façon écarté pour les raisons qui suivent.</w:t>
      </w:r>
    </w:p>
    <w:p>
      <w:r>
        <w:rPr>
          <w:b/>
        </w:rPr>
        <w:t>E. 3.2</w:t>
      </w:r>
    </w:p>
    <w:p>
      <w:r>
        <w:t>Le principe de la légalité, consacré à l’art. 5 al. 1 Cst., exige que les autorités n’agissent que dans le cadre fixé par la loi (ATF 147 I 1 consid. 4.3.1).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notamment des règles nouvelles qui restreindraient les droits des administrés ou leur imposeraient des obligations,</w:t>
      </w:r>
    </w:p>
    <w:p>
      <w:r>
        <w:t>- 7/14 - A/1729/2024 même si ces règles sont conformes au but de la loi, si ce n’est dans le cadre d’une délégation valablement conférée par le législateur (ATF 147 V 328 consid. 4.2 ;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w:t>
      </w:r>
    </w:p>
    <w:p>
      <w:r>
        <w:rPr>
          <w:b/>
        </w:rPr>
        <w:t>E. 3.3</w:t>
      </w:r>
    </w:p>
    <w:p>
      <w:r>
        <w:t>Le principe de la séparation des pouvoirs est garanti au moins implicitement par toutes les constitutions cantonales ; tel est le cas à Genève, et ce de manière expresse en vertu de l'art. 2 al. 2 Cst-GE. Il impose le respect des compétences établies par la Constitution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Les règlements d'exécution doivent ainsi se limiter à préciser certaines dispositions légales au moyen de normes secondaires, à en combler le cas échéant les véritables lacunes et à fixer si nécessaire des points de procédure (ATF 139 II 460 consid. 2.2 ; ATA/1684/2019 du 19 novembre 2019 consid. 9a). Le Conseil d’État, qui exerce le pouvoir exécutif (art. 101 Cst‑GE), peut adopter des normes d’exécution, soit des normes secondaires, sans qu’une clause spécifique dans la loi soit nécessaire (art. 109 al. 4 Cst‑GE). En revanche,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 L'art. 33 al. 1 LPAC reprend cette règle en prévoyant que le Conseil d'État prend, par voie de règlements, les dispositions d'exécution de ladite loi. Pour le surplus, c'est à la lumière des principes constitutionnels généraux qu'il y a lieu de définir les limites de l'activité règlementaire du Conseil d'État. C'est ainsi, notamment, que les règlements d'exécution doivent se limiter à préciser certaines dispositions légales au moyen de normes secondaires, à en combler le cas échéant les véritables lacunes et à fixer si nécessaire des points de procédure (ATF 139 II 460 consid. 2.2 ; 130 I 140 consid. 5.1 et les références citées ; arrêt du Tribunal fédéral 8C_161/2015 du 22 décembre 2016 consid. 4.2).</w:t>
      </w:r>
    </w:p>
    <w:p>
      <w:r>
        <w:rPr>
          <w:b/>
        </w:rPr>
        <w:t>E. 3.4</w:t>
      </w:r>
    </w:p>
    <w:p>
      <w:r>
        <w:t>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w:t>
      </w:r>
    </w:p>
    <w:p>
      <w:r>
        <w:t>- 8/14 - A/1729/2024 concrétisation de la norme. Pour déterminer quel degré de précision l'on est en droit d'exiger de la loi, il faut tenir compte du cercle de ses destinataires et de la gravité des atteintes qu'elle autorise aux droits fondamentaux (ATF 138 I 378 consid. 7.2). S’agissant de la fonction publique, en raison de la subordination hiérarchique propre à l'activité et à la structure de l'État,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(arrêts du Tribunal fédéral 8C_161/2015 du 22 décembre 2016 consid. 4.2 ; 1C_251/2014 consid. 2.6 et les références citées ; ACST/31/2020 du 2 octobre 2020 consid. 8c ; ATA/1684/2019 précité consid. 9b).</w:t>
      </w:r>
    </w:p>
    <w:p>
      <w:r>
        <w:rPr>
          <w:b/>
        </w:rPr>
        <w:t>E. 3.5</w:t>
      </w:r>
    </w:p>
    <w:p>
      <w:r>
        <w:t>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(ATA/429/2020 précité consid. 8c). 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(ATA/429/2020 précité consid. 8c ; ATA/1737/2019 précité consid. 6c). L'exercice d'un contrôle judiciaire dans ce cadre-là garde ainsi tout son sens, même si le juge administratif doit alors observer une très grande retenue dans l'examen de la manière dont l'administration a exercé ses prérogatives. Le juge doit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ATA/429/2020 précité consid. 8c ; ATA/1737/2019 précité consid. 6c).</w:t>
      </w:r>
    </w:p>
    <w:p>
      <w:r>
        <w:rPr>
          <w:b/>
        </w:rPr>
        <w:t>E. 3.6</w:t>
      </w:r>
    </w:p>
    <w:p>
      <w:r>
        <w:t>La loi générale relative au personnel de l’administration cantonale, du pouvoir judiciaire et des établissements publics médicaux du 4 décembre 1997 (LPAC - B 5 05) définit comme fonctionnaire le membre du personnel régulier nommé pour une durée indéterminée après avoir accompli comme employé une période probatoire.</w:t>
      </w:r>
    </w:p>
    <w:p>
      <w:r>
        <w:t>- 9/14 - A/1729/2024 Le règlement d’application de la loi générale relative au personnel de l’administration cantonale, du pouvoir judiciaire et des établissements publics médicaux du 24 février 1999 (RPAC - B 5 05.01) prévoit que peut être nommé fonctionnaire, tout membre du personnel régulier qui a, en règle générale, occupé un emploi au sein de l’administration cantonale durant deux ans et a accompli à satisfaction les tâches qui lui incombaient à ce titre (art. 45 al. 1 let. a RPAC).</w:t>
      </w:r>
    </w:p>
    <w:p>
      <w:r>
        <w:rPr>
          <w:b/>
        </w:rPr>
        <w:t>E. 3.7</w:t>
      </w:r>
    </w:p>
    <w:p>
      <w:r>
        <w:t>La loi concernant le traitement et les diverses prestations alloués aux membres du personnel de l'État, du pouvoir judiciaire et des établissements hospitaliers du 21 décembre 1973 (LTrait - B 5 15) prévoit que les promotions, soit les mutations à une nouvelle fonction de classe supérieure à celle exercée jusqu’alors, se font compte tenu des exigences de la nouvelle fonction et de son rang hiérarchique, et selon le RTrait (art. 13 LTrait). L’art. 43 LTrait prévoit que le Conseil d’État prend, par voie de règlements, les dispositions d’exécution de la loi.</w:t>
      </w:r>
    </w:p>
    <w:p>
      <w:r>
        <w:rPr>
          <w:b/>
        </w:rPr>
        <w:t>E. 3.8</w:t>
      </w:r>
    </w:p>
    <w:p>
      <w:r>
        <w:t>L’art. 8 al. 1 RTrait prévoit que la promotion d’un titulaire à un nouveau poste est faite à titre d’essai pour une période de 12 à 24 mois. À la fin de cette période, le titulaire est confirmé dans son nouveau poste et son traitement est situé dans la classe de la fonction (art. 8 al. 2 RTrait).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sur le changement de fonction avec rétrogradation (art. 8 al. 3 RTrait). La promotion donne lieu immédiatement à l’octroi d’une augmentation extraordinaire de traitement selon des modalités qui dépendent de la différence de classe de traitement entre les fonctions (art. 8 al. 4 RTrait).</w:t>
      </w:r>
    </w:p>
    <w:p>
      <w:r>
        <w:rPr>
          <w:b/>
        </w:rPr>
        <w:t>E. 3.9</w:t>
      </w:r>
    </w:p>
    <w:p>
      <w:r>
        <w:t>L’OPE a édicté un corpus de directives, intitulé MIOPE, passant en revue et explicitant l'ensemble des règles relatives aux rapports de service des collaborateurs de l'État. Selon la fiche 02.02.01 du MIOPE, en règle générale la période d’essai de promotion est fixée à 12 mois pour les classes de 11 à 17 et à 24 mois pour les classes 18 et plus. La fiche 04.02.07 du MIOPE rappelle la teneur de l’art. 8 al. 3 RTrait, soit le changement d’affectation avec rétrogradation suite à une non-confirmation de promotion, le salaire étant alors rétabli à la situation avant promotion, selon l’exemple donné. L’OPE a également édicté un guide de l’EEDP (ci-après : guide EEDP), lequel indique en p. 1 que celui-ci peut avoir lieu en tout temps, lorsque la situation l'exige, comme par exemple lors d'une promotion ou d'un redéploiement de carrière.</w:t>
      </w:r>
    </w:p>
    <w:p>
      <w:r>
        <w:rPr>
          <w:b/>
        </w:rPr>
        <w:t>E. 3.10</w:t>
      </w:r>
    </w:p>
    <w:p>
      <w:r>
        <w:t>Conformément à la jurisprudence, les dispositions du MIOPE ou d’autres directives ne constituent pas des règles de droit ; toutefois, du moment qu'elles tendent à une application uniforme et égale du droit, les tribunaux ne s'en écartent que dans la mesure où elles ne restitueraient pas le sens exact de la loi (ATF 133 II 305 consid. 8.1 et les références citées ; arrêt du Tribunal fédéral</w:t>
      </w:r>
    </w:p>
    <w:p>
      <w:r>
        <w:t>- 10/14 - A/1729/2024 2C_95/2011 du 11 octobre 2011 consid. 2.3 et les références citées ; ATA/1684/2019 du 19 novembre 2019 consid. 6g et les références citées).</w:t>
      </w:r>
    </w:p>
    <w:p>
      <w:r>
        <w:rPr>
          <w:b/>
        </w:rPr>
        <w:t>E. 3.11</w:t>
      </w:r>
    </w:p>
    <w:p>
      <w:r>
        <w:t>En l’espèce, il apparaît que la période probatoire en cas de promotion est fixée dans la règlementation applicable aux fonctionnaires, telle la recourante et qu’elle repose sur la notion même de promotion, définie dans la LTrait et la LPAC pour l’ensemble des fonctionnaires genevois et par les normes règlementaires et les directives qui permettent une application uniforme du droit. Il paraîtrait d’ailleurs incohérent que la règlementation ne prévoie pas un tel temps d’essai, la promotion étant similaire dans ses effets à un nouvel engagement dans une autre fonction (art. 13 al. 1 LTrait ; ATA/538/2014 du 17 juillet 2014 consid. 7). Rien ne permet donc de retenir, comme le fait la recourante qui fait notamment fi du rapport de droit spécial existant entre elle et son employeur, qu’il n’existerait pas de base légale suffisante pour appliquer une période probatoire en cas de promotion. La chambre de céans ainsi que le Tribunal fédéral ont déjà confirmé des décisions faisant application des dispositions règlementaires sur la période probatoire en cas de promotion, confirmant ainsi leur légalité. Dans un arrêt récent, le Tribunal fédéral a confirmé cette conclusion puisqu’il retient expressément que l’instauration d’une nouvelle période d’essai n’apparait pas arbitraire, le contrat concerné portant sur une nouvelle fonction avec un nouveau cahier des charges (arrêt du Tribunal fédéral 1C_72/2024 du 18 avril 2024 consid. 3.2 ; ATA/429/2020 du 30 avril 2020, ATA/1737/2019 du 3 décembre 2019 et ATA/1411/2019 du 24 septembre 2019 confirmant des décisions de non-confirmation de promotions ; ATA/871/2014 du 11 novembre 2014 confirmé par arrêt du Tribunal fédéral 8C_12/2015 ; ATA/538/2014 précité). Le grief sera donc écarté.</w:t>
      </w:r>
    </w:p>
    <w:p>
      <w:r>
        <w:rPr>
          <w:b/>
        </w:rPr>
        <w:t>E. 4</w:t>
      </w:r>
    </w:p>
    <w:p>
      <w:r>
        <w:t>La recourante fait valoir qu’aucune condition ou exigence relative à la confirmation ou non à l’issue de la période d’essai n’est prévue dans la réglementation, la confirmation apparaissant comme la règle.</w:t>
      </w:r>
    </w:p>
    <w:p>
      <w:r>
        <w:rPr>
          <w:b/>
        </w:rPr>
        <w:t>E. 4.1</w:t>
      </w:r>
    </w:p>
    <w:p>
      <w:r>
        <w:t>Le RTrait prévoit qu’à la fin de la période d’essai fixée entre 12 et 24 mois, le titulaire est confirmé dans son nouveau poste et son traitement est situé dans la classe de la fonction (art. 8 al. 1 et 2 RTrait). Même si cette formulation ne mentionne pas expressément la non-confirmation, elle ne peut qu’être impliquée – la formulation désignant la décision de confirmer ou non – vu la définition même d’une période d’essai. En outre, l’art. 8 al. 3 RTrait prévoit la possibilité de renoncer à l’affectation par les deux parties, avec la conséquence, en cas de changement de fonction avec rétrogradation, d’un retour dans la classe de fonction initiale suite à une non-confirmation (art. 8 al. 3 et 9 RTrait). En outre, par définition, l'objectif du temps d'essai est de permettre aux parties de préparer l'établissement de rapports de travail destinés à durer, en leur donnant l'occasion d'éprouver leurs relations de confiance, de déterminer si elles se</w:t>
      </w:r>
    </w:p>
    <w:p>
      <w:r>
        <w:t>- 11/14 - A/1729/2024 conviennent mutuellement et de réfléchir avant de s'engager pour une plus longue période, selon la formulation retenue par le Tribunal fédéral (ATF 148 III 126 consid. 5.2.7). Cette définition s’applique également au temps d’essai après promotion, notamment lorsque comme en l’espèce, la nouvelle affectation contient des fonctions de direction de personnel qui n’existaient pas dans l’ancienne fonction. La teneur de l’art. 8 al. 3 RTrait, qui prévoit que chaque partie peut renoncer à la nouvelle affectation, conforte d’ailleurs cette conclusion.</w:t>
      </w:r>
    </w:p>
    <w:p>
      <w:r>
        <w:rPr>
          <w:b/>
        </w:rPr>
        <w:t>E. 4.2</w:t>
      </w:r>
    </w:p>
    <w:p>
      <w:r>
        <w:t>La jurisprudence admet que durant la période probatoire, l’administration dispose d’un très large pouvoir d’appréciation quant à l’opportunité de la poursuite des rapports de service (arrêt du Tribunal fédéral 8C_310/2017 du 14 mai 2018 consid. 6.3), étant précisé que la décision attaquée ne peut être revue sous l’angle de son opportunité par l’autorité de recours (art. 61 LPA). L’administration reste néanmoins tenue au respect des principes et droits constitutionnels, notamment la légalité, la proportionnalité, l’interdiction de l’arbitraire et le droit d’être entendu (ATA/214/2013 du 9 avril 2013 ; ATA/50/2013 du 29 janvier 2013 et les références citées).</w:t>
      </w:r>
    </w:p>
    <w:p>
      <w:r>
        <w:rPr>
          <w:b/>
        </w:rPr>
        <w:t>E. 4.3</w:t>
      </w:r>
    </w:p>
    <w:p>
      <w:r>
        <w:t>En conséquence, il appert que rien ne soutient le raisonnement de la recourante puisque le dispositif prévu par la règlementation applicable prévoit la possibilité de ne pas confirmer la promotion pendant et à l’issue de la période d’essai fixée.</w:t>
      </w:r>
    </w:p>
    <w:p>
      <w:r>
        <w:rPr>
          <w:b/>
        </w:rPr>
        <w:t>E. 5</w:t>
      </w:r>
    </w:p>
    <w:p>
      <w:r>
        <w:t>La recourante invoque une violation du principe de la bonne foi. Alors qu’elle avait informé sa hiérarchie d’une situation conflictuelle avec une collègue et malgré des promesses qu’elle allègue avoir reçues de la commandante de la police que ce problème serait réglé par le biais d’une réorganisation du service, la réorganisation n’avait finalement pas eu lieu et son incapacité de travail avait dû être portée à 100% pour ce motif.</w:t>
      </w:r>
    </w:p>
    <w:p>
      <w:r>
        <w:rPr>
          <w:b/>
        </w:rPr>
        <w:t>E. 5.1</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 (ATA/242/2023 du 14 mars 2023 consid. 6b ; ATA/182/2023 du 28 février 2023 consid. 7.2). De ce principe découle notamment le droit de toute personne à la protection de sa bonne foi dans ses relations avec l'État, consacré à l'art. 9 in fine Cst. et dont le Tribunal fédéral contrôle librement le respect (ATF 138 I 49 consid. 8.3.1 ; arrêt du Tribunal fédéral 8C_145/2019 du 3 juin 2020 consid. 6.3.2 ; ATA/182/2023 précité consid. 7.2).</w:t>
      </w:r>
    </w:p>
    <w:p>
      <w:r>
        <w:rPr>
          <w:b/>
        </w:rPr>
        <w:t>E. 5.2</w:t>
      </w:r>
    </w:p>
    <w:p>
      <w:r>
        <w:t>Ancré à l'art. 9 Cst., et valant pour l'ensemble de l'activité étatique, le principe de la bonne foi exige que l'administration et les administrés se comportent réciproquement de manière loyale (arrêt du Tribunal fédéral 2C_596/2022 du</w:t>
      </w:r>
    </w:p>
    <w:p>
      <w:r>
        <w:rPr>
          <w:b/>
        </w:rPr>
        <w:t>E. 5.3</w:t>
      </w:r>
    </w:p>
    <w:p>
      <w:r>
        <w:t>Il convient de rappeler que l'examen de la chambre administrative intervient dans le cadre de la non-confirmation de la promotion de la recourante. Or, cette dernière n'avait pas de droit à voir sa promotion confirmée et une telle confirmation – ou non-confirmation – relève de la large liberté d'appréciation de l'autorité intimée ainsi que, en grande partie, de l'opportunité, que la chambre de céans ne revoit pas (art. 61 al. 2 LPA ; ATA/1167/2023 précité consid. 4.2).</w:t>
      </w:r>
    </w:p>
    <w:p>
      <w:r>
        <w:rPr>
          <w:b/>
        </w:rPr>
        <w:t>E. 5.4</w:t>
      </w:r>
    </w:p>
    <w:p>
      <w:r>
        <w:t>En l’espèce, les problèmes rencontrés par la recourante avec les membres de l’équipe du SCRP, qu’elle ne conteste pas, ont donné lieu à des doléances de tous les membres et à une tentative de médiation amorcée par la cheffe de gestion RH laquelle a entendu au préalable les membres de l’équipe ainsi que la recourante en mai 2023. Suite au refus de la recourante de poursuivre la procédure de médiation et à l’abandon de la réorganisation du service annoncée, l’intéressée estime que son degré d’incapacité de travail a été péjoré, rendant impossible un retour dans un environnement toxique. Pour cette raison, elle n’avait pas pu effectuer son temps d’essai et cela ne pouvait être retenu contre elle, son employeur ayant violé son obligation de protéger sa personnalité. Même si les faits sur lesquels se fonde le raisonnement de la recourante étaient établis, ce qui n’est pas le cas, celui-ci ne pourrait être suivi. En effet, son analyse omet le fait que les modalités de la protection de la personnalité des membres du personnel, notamment en matière de harcèlement psychologique, sont prévues dans un règlement ad hoc (règlement relatif à la protection de la personnalité à l'État de Genève du 12 décembre 2012 - RPPers - B 5 05.10). Celui-ci contient notamment des mesures pour prévenir, constater et faire cesser toute atteinte à la personnalité, dont la médiation et la saisine du groupe de confiance par la personne victime de harcèlement (art. 2B al. 2 LPAC et 1 al. 2 RPPers). Le processus initié par la hiérarchie, soit des entretiens avec toutes les personnes concernées et la mise en place d’un processus de médiation a été refusé par la recourante. Celle-ci n’a pas non plus saisi le groupe de confiance. En conséquence, il ne peut être retenu que l’autorité intimé a, par son inaction, rendu impossible toute évaluation du temps d’essai après promotion de la recourante, comme elle le soutient. Quant aux promesses qui lui auraient été faites par la commandante de la police de réorganiser le service afin de déplacer la subordonnée avec laquelle elle rencontrait des problèmes, même si elles étaient avérées, elles ne pouvaient être interprétées</w:t>
      </w:r>
    </w:p>
    <w:p>
      <w:r>
        <w:t>- 13/14 - A/1729/2024 que comme une piste envisagée par la hiérarchie pour régler les problèmes constatés dans le service et non comme un engagement ferme de sa part, compte tenu des circonstances. Notamment, l’arrêt de travail à 100% de la recourante dès le 1er juin 2023 et la durée de cet arrêt n’étaient pas connus, au moment où cette promesse aurait eu lieu, aux dires de la recourante. En conséquence, même à suivre la recourante et à admettre que la qualité de son travail a été reconnue par la commandante de la police, aucun comportement contradictoire de l’autorité intimée, contraire à la bonne foi, ne peut être constaté. Il ne peut pas non plus être retenu que des garanties ou une assurance ferme de confirmation de sa promotion n’auraient été données vers la fin de la période d’essai de deux ans qui courait jusqu’au 30 avril 2024 et en l’absence de tout forme d’évaluation formelle de ses compétences. Ainsi, les compétences en matière d’encadrement d’une équipe, qui faisaient partie des nouvelles fonctions voire qui en constituaient l’essentiel, n’ont pas pu être évaluées, vu l’absence maladie de la recourante, même si ses compétences en matière de communication n’ont jamais été mises en cause et étaient très appréciées par sa hiérarchie, ce qui n’est pas contesté. Au vu de ce qui précède, la non-confirmation de la promotion de la recourante demeure dans les limites du très large pouvoir d'appréciation de l'autorité intimée et apparaît soutenable au regard du dossier, étant rappelé que la recourante n'avait pas de droit à la confirmation de sa promotion. En tous points infondé, le recours doit être rejeté. 6. Vu l’issue du litige, un émolument de CHF 1'000.- sera mis à la charge de la recourante (art. 87 al. 1 LPA) et il ne sera alloué aucune indemnité de procédure (art. 87 al. 2 LPA). Compte tenu des conclusions du recours, la valeur litigieuse est supérieure à CHF 15'000.- (art. 112 al. 1 let. d de loi fédérale sur le Tribunal fédéral du 17 juin 2005 - LTF - RS 173.110).</w:t>
      </w:r>
    </w:p>
    <w:p>
      <w:r>
        <w:t>* * * * *</w:t>
      </w:r>
    </w:p>
    <w:p>
      <w:r>
        <w:rPr>
          <w:b/>
        </w:rPr>
        <w:t>E. 8</w:t>
      </w:r>
    </w:p>
    <w:p>
      <w:r>
        <w:t>novembre 2022 consid. 8.1 ; ATA/175/2023 du 28 février 2023 consid. 4b ; Jacques DUBEY, Droits fondamentaux, vol. 2, 2018, p. 642 n. 3454). En</w:t>
      </w:r>
    </w:p>
    <w:p>
      <w:r>
        <w:t>- 12/14 - A/1729/2024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 ATA/349/2023 du 4 avril 2023 consid. 3.2.3 ; Thierry TANQUEREL, Manuel de droit administratif, 2e éd., 2018, p. 203 n. 568 ; Jacques DUBEY/Jean-Baptiste ZUFFEREY, Droit administratif général, 2014, p. 254 n. 716 et 717 et p. 256 n. 726).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