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ATA/9/2011 vom 5. November 2010</w:t>
      </w:r>
    </w:p>
    <w:p>
      <w:r>
        <w:t>GE Cour de justice, 2010-11-05, FR</w:t>
      </w:r>
    </w:p>
    <w:p>
      <w:r>
        <w:rPr>
          <w:b/>
        </w:rPr>
        <w:t xml:space="preserve">Quelle: </w:t>
      </w:r>
      <w:r>
        <w:t>https://mcp.opencaselaw.ch/entscheid/ge_gerichte_ATA_9_2011</w:t>
      </w:r>
    </w:p>
    <w:p>
      <w:r>
        <w:t>FR: GE_GERICHTE ATA/9/2011 du 5 novembre 2010</w:t>
      </w:r>
    </w:p>
    <w:p>
      <w:r>
        <w:t>IT: GE_GERICHTE ATA/9/2011 del 5 novembre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l'entrée en vigueur de la nouvelle loi sur l'organisation judiciaire du 26 septembre 2010 (LOJ - E 2 05), l'ensemble des compétences jusqu'alors dévolues au Tribunal administratif a échu à la chambre administrative de la Cour de justice, qui devient autorité supérieure ordinaire de recours en matière administrative (art. 131 et 132 LOJ).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Selon l'art. 87 al. 1 de la loi sur la procédure administrative du 12 septembre 1985 (LPA - E 5 10), la juridiction administrative qui rend la décision statue sur les frais de procédure et les émoluments.</w:t>
      </w:r>
    </w:p>
    <w:p>
      <w:r>
        <w:t>En l'espèce, conformément à l'arrêt du Tribunal fédéral du 5 novembre 2010, il y lieu de considérer que le recours de l'AFC aurait dû être admis par le Tribunal administratif. La décision de la juridiction de première instance aurait</w:t>
      </w:r>
    </w:p>
    <w:p>
      <w:r>
        <w:t>- 3/4 - A/798/2009 donc dû être annulée et un émolument de procédure mis à la charge du contribuable, ce dernier étant intégralement débouté des ses conclusions.</w:t>
      </w:r>
    </w:p>
    <w:p>
      <w:r>
        <w:t>Au vu de ce qui précède, il y a lieu d'annuler formellement la décision de la commission et de mettre un émolument global pour l’ensemble des procédures cantonales de CHF 1'000.- à la charge du contribuable, qui succombe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