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ATA/998/2022 vom 4. Oktober 2022</w:t>
      </w:r>
    </w:p>
    <w:p>
      <w:r>
        <w:t>GE Cour de justice, 2022-10-04, FR</w:t>
      </w:r>
    </w:p>
    <w:p>
      <w:r>
        <w:rPr>
          <w:b/>
        </w:rPr>
        <w:t xml:space="preserve">Quelle: </w:t>
      </w:r>
      <w:r>
        <w:t>https://mcp.opencaselaw.ch/entscheid/ge_gerichte_ATA_998_2022</w:t>
      </w:r>
    </w:p>
    <w:p>
      <w:r>
        <w:t>FR: GE_GERICHTE ATA/998/2022 du 4 octobre 2022</w:t>
      </w:r>
    </w:p>
    <w:p>
      <w:r>
        <w:t>IT: GE_GERICHTE ATA/998/2022 del 4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Bien qu’elle n’y conclue pas expressément, la recourante offre d’être entendue.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w:t>
      </w:r>
    </w:p>
    <w:p>
      <w:r>
        <w:t>b. En l’espèce, la recourante a eu l’occasion de s’exprimer par écrit devant l’OCPM, le TAPI et la chambre de céans et de produire toute pièce utile. Elle n’explique pas quels éléments supplémentaires utiles à la solution du litige qu’elle n’aurait pu faire valoir par écrit son audition pourrait apporter.</w:t>
      </w:r>
    </w:p>
    <w:p>
      <w:r>
        <w:t>Il ne sera pas ordonné de comparution personnelle des parties. 3)</w:t>
      </w:r>
    </w:p>
    <w:p>
      <w:r>
        <w:t>Le litige a pour objet la conformité au droit de la décision de l’OCPM refusant d’octroyer à la recourante une autorisation de séjour pour cas de rigueur et prononçant son renvoi de Suisse.</w:t>
      </w:r>
    </w:p>
    <w:p>
      <w:r>
        <w:t>a. Le 1er janvier 2019 est entrée en vigueur une modification de la LEI et de l’OASA.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w:t>
      </w:r>
    </w:p>
    <w:p>
      <w:r>
        <w:t>- 9/16 - A/140/2022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1er janvier 2021, ch. 5.6 [ci-après : directives SEM]).</w:t>
      </w:r>
    </w:p>
    <w:p>
      <w:r>
        <w:t>c.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ch. 5.6).</w:t>
      </w:r>
    </w:p>
    <w:p>
      <w:r>
        <w:t>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- 10/16 - A/140/2022 4)</w:t>
      </w:r>
    </w:p>
    <w:p>
      <w:r>
        <w:t>En l’espèce, la recourante séjourne en Suisse depuis octobre 2019, soit aujourd’hui trois ans et il n’est pas contesté que la durée de ce séjour est insuffisante au regard des conditions posées par la jurisprudence. Si elle peut faire valoir une intégration sociale réussie, que le TAPI a d’ailleurs reconnue, elle ne peut se prévaloir d’aucune intégration professionnelle ni d’aucune autonomie financière puisqu’elle n’a pas d’emploi et dépend de l’aide sociale. Elle fait certes valoir que son fils et elle subsistent au moyen de la rente complémentaire AVS pour enfant perçue par ce dernier (CHF 760.-) ainsi que des allocations familiales (CHF 400.-). Ces deux sources de revenus sont cependant insuffisantes pour assurer l’entretien de deux personnes adultes, tant il est vrai que l’hospice doit prendre en charge leur logement. Le fait que le recourante n’ait ni dettes ni poursuites et que son casier judiciaire soit vierge peut être attendu de tout étranger désireux de séjourner durablement en Suisse.</w:t>
      </w:r>
    </w:p>
    <w:p>
      <w:r>
        <w:t>La recourante, qui était âgée de 54 ans lors de son arrivée en Suisse, ne fait pas valoir qu’elle ne pourrait se réinsérer au B______, pays dont elle maîtrise la langue officielle et la culture, qu’elle a quitté il y a trois ans à peine, où elle a vécu toute son enfance, son adolescence et l’essentiel de sa vie d’adulte et où elle a toujours travaillé et conserve une grande famille composée de plusieurs enfants ainsi que de petits enfants. Elle ne prétend pas qu’elle aurait acquis en Suisse une formation ou une expérience si spécifiques qu’elle ne pourrait les faire valoir au B______.</w:t>
      </w:r>
    </w:p>
    <w:p>
      <w:r>
        <w:t>C’est ainsi sans excès ni abus de leur pouvoir d’appréciation que l’OCPM a retenu que la recourante ne remplissait pas les conditions du cas individuel d’extrême gravité. 5)</w:t>
      </w:r>
    </w:p>
    <w:p>
      <w:r>
        <w:t>La recourante se prévaut de la protection de la vie familiale au sens de l’art. 8 CEDH.</w:t>
      </w:r>
    </w:p>
    <w:p>
      <w:r>
        <w:t>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w:t>
      </w:r>
    </w:p>
    <w:p>
      <w:r>
        <w:t>- 11/16 - A/140/2022 § 2 CEDH suppose une pesée des intérêts en présence et l'examen de la proportionnalité de la mesure (ATF 139 I 145 consid. 2.2 ; 135 II 377 consid. 4.3) respectivement du refus d'accorder ou de prolonger une autorisation de séjour.</w:t>
      </w:r>
    </w:p>
    <w:p>
      <w:r>
        <w:t>c. L'art. 8 CEDH, qui vise en premier lieu la famille dite nucléaire, c'est-à-dire la communauté formée par les parents et leurs enfants mineurs ne confère en principe pas un droit à séjourner dans un État déterminé.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w:t>
      </w:r>
    </w:p>
    <w:p>
      <w:r>
        <w:t>Lorsque ce n'est pas la personne qui demande le regroupement familial, mais le proche parent au bénéfice d'un droit de présence assuré en Suisse qui est atteint d'une maladie ou d'un handicap important le rendant dépendant d'une aide extérieure, le Tribunal fédéral a admis exceptionnellement que l'étranger pouvait également se prévaloir de l'art. 8 CEDH, à condition qu'il existe un lien de dépendance particulier entre lui et ledit proche atteint dans cet état de santé (arrêts 2C_10/2018 du 16 mai 2018 consid. 4.1 ; 2C_477/2017 du 2 juin 2017 consid. 3.2 ;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w:t>
      </w:r>
    </w:p>
    <w:p>
      <w:r>
        <w:t>d. La jurisprudence du Tribunal fédéral relative à l'existence d'un rapport de dépendance entre parents et enfants majeurs dépend étroitement des circonstances. Un rapport de dépendance psychologique a par exemple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2C_942/2010 du 27 avril 2011 consid. 2.4). En revanche, des difficultés économiques ou d'autres problèmes d'organisation ne rendent en principe pas irremplaçable l'assistance de proches parents (arrêt du Tribunal fédéral 2C_817/2010 du 24 mars 2011 et les références citées).</w:t>
      </w:r>
    </w:p>
    <w:p>
      <w:r>
        <w:t>e. En l’espèce, le fils de la recourante, né le 20 novembre 2002, sera bientôt âgé de 20 ans. Il est majeur et en formation, soit en voie d’acquérir son indépendance. S’il a, certes, pu compter sur la recourante pour assurer sa subsistance du temps de sa minorité au B______, il bénéficie aujourd’hui d’une rente AVS complémentaire pour enfant et d’allocations familiales qui lui sont</w:t>
      </w:r>
    </w:p>
    <w:p>
      <w:r>
        <w:t>- 12/16 - A/140/2022 destinées, et la recourante ne contribue plus du tout à son entretien. Il devrait par ailleurs pouvoir rechercher auprès de son père le soutien financier que celui-ci lui doit.</w:t>
      </w:r>
    </w:p>
    <w:p>
      <w:r>
        <w:t>La recourante fait cependant valoir que son fils est déprimé par la perspective de la voir partir et que sa présence auprès de lui serait indispensable. Si les souffrances de son fils ne sont pas à minimiser, elles s’expliquent par la séparation du foyer familial, qui survient fréquemment à l’entrée dans l’âge adulte, et elles n’atteignent pas le degré d’intensité qui a pu faire admettre la présence du parent auprès de l’enfant majeur affecté d’un handicap comme absolument indispensable (arrêt du Tribunal fédéral 2C_942/2010 précité). Le certificat médical du Docteur H______ du 31 mars 2022 indiquant que la présence de la recourante « près de lui est nécessaire au maintien de sa santé mentale » n’établit pas non plus qu’une telle circonstance exceptionnelle serait réalisée, étant observé que le fils de la recourante a été adressé à une psychologue pour recevoir un soutien thérapeutique et qu’il devrait pouvoir compter par ailleurs sur la présence et le soutien de son père.</w:t>
      </w:r>
    </w:p>
    <w:p>
      <w:r>
        <w:t>C’est ainsi à bon droit que l’OCPM a conclu que la recourante ne pouvait se prévaloir de l’art. 8 CEDH, étant observé que la CDE s’applique quant à elle aux enfants mineurs. 6)</w:t>
      </w:r>
    </w:p>
    <w:p>
      <w:r>
        <w:t>La recourante se plaint d’une inégalité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b. En l’espèce, s’agissant d’un regroupement familial inversé avec un enfant majeur, l’autorité intimée a exclu à juste titre que la condition de la dépendance soit réalisée. Elle n’avait pas à tenir compte de la minorité du fils de la recourante au moment du dépôt de la demande, l’enjeu n’étant pas de préserver le droit au séjour en Suisse de ce dernier d’éventuelles lenteurs administratives, dès lors qu’il est citoyen suisse. La situation de l’enfant avant et après la majorité n’est pas semblable sous l’angle de la protection de la vie familiale, et la recourante ne peut être suivie lorsqu’elle se plaint de la différence de traitement sous cet angle selon l’âge de l’enfant.</w:t>
      </w:r>
    </w:p>
    <w:p>
      <w:r>
        <w:t>Le grief sera écarté.</w:t>
      </w:r>
    </w:p>
    <w:p>
      <w:r>
        <w:t>- 13/16 - A/140/2022 7)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 du Tribunal administratif fédéral [ci-après : TAF] C-4183/2011 du 16 janvier 2012 consid. 3.1).</w:t>
      </w:r>
    </w:p>
    <w:p>
      <w:r>
        <w:t>b. L'exécution d'un renvoi n'est pas possible lorsque l'étranger ne peut pas quitter la Suisse pour son État d'origine, son État de provenance ou un État tiers, ni être renvoyé dans un de ces État (art. 83 al. 2 LEI).</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w:t>
      </w:r>
    </w:p>
    <w:p>
      <w:r>
        <w:t>- 14/16 - A/140/2022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t>c. En l’espèce, la recourante n’établit pas, et ne soutient d’ailleurs plus, que les soins et le suivi dont elle doit bénéficier pour le diabète, la cataracte et la maladie auto-immune (de Biermer) dont elle souffre ne seraient pas accessibles au B______ et que l’exécution de son renvoi menacerait de manière concrète sa vie ou son intégrité corporelle ou psychique ou l’exposerait à une nette aggravation de son état physique de nature à la mettre concrètement en danger.</w:t>
      </w:r>
    </w:p>
    <w:p>
      <w:r>
        <w:t>Elle ne remplit donc pas les conditions d’une admission provisoire au sens de l’art. 83 LEI, dès lors qu’il ne ressort pas du dossier que l’exécution de son renvoi serait impossible, illicite ou non raisonnablement exigible.</w:t>
      </w:r>
    </w:p>
    <w:p>
      <w:r>
        <w:t>En tous points mal fondé, le recours sera rejeté. 8)</w:t>
      </w:r>
    </w:p>
    <w:p>
      <w:r>
        <w:t>La recourante, qui succombe, étant au bénéfice de l’assistance juridique, il ne sera pas perçu d’émolument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