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ATA/997/2023 vom 12. September 2023</w:t>
      </w:r>
    </w:p>
    <w:p>
      <w:r>
        <w:t>GE Cour de justice, 2023-09-12, FR</w:t>
      </w:r>
    </w:p>
    <w:p>
      <w:r>
        <w:rPr>
          <w:b/>
        </w:rPr>
        <w:t xml:space="preserve">Quelle: </w:t>
      </w:r>
      <w:r>
        <w:t>https://mcp.opencaselaw.ch/entscheid/ge_gerichte_ATA_997_2023</w:t>
      </w:r>
    </w:p>
    <w:p>
      <w:r>
        <w:t>FR: GE_GERICHTE ATA/997/2023 du 12 septembre 2023</w:t>
      </w:r>
    </w:p>
    <w:p>
      <w:r>
        <w:t>IT: GE_GERICHTE ATA/997/2023 del 12 settembre 2023</w:t>
      </w:r>
    </w:p>
    <w:p>
      <w:pPr>
        <w:pStyle w:val="Heading2"/>
      </w:pPr>
      <w:r>
        <w:t>Regeste</w:t>
      </w:r>
    </w:p>
    <w:p>
      <w:r>
        <w:t>Résumé: Recours déposé par les habitants d’un immeuble voisin de celui sur lequel l’autorisation de poser une nouvelle antenne 5G a été délivrée. Pour l’essentiel, les griefs des recourants sont en lien avec la tenue du dossier administratif qui contient notamment des pièces étrangères à la procédure. Ces arguments ne sont toutefois pas suffisants pour annuler l’autorisation de construire.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Les recourants invoquent une violation de leur droit d’être entendus sous plusieurs aspects.</w:t>
      </w:r>
    </w:p>
    <w:p>
      <w:r>
        <w:t>- 12/19 - A/1532/2022 2.1 Le droit d’être entendu, garanti par les art. 29 al. 2 Cst. et 6 §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 2.2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2.3 Le droit de consulter le dossier, déduit de l'art. 29 al. 2 Cst., s'étend à toutes les pièces décisives figurant au dossier et garantit que les parties puissent prendre connaissance des éléments fondant la décision et s'exprimer à leur sujet (ATF 142 I 86 consid. 2.2 ss ; 132 II 485 consid. 3.2 ; 129 I 85 consid. 4.1 ; 125 II 473 consid. 4c.cc ; 121 I 225 consid. 2a). La LPA prévoit que les parties et leurs mandataires sont admis à consulter au siège de l’autorité les pièces du dossier destinées à servir de fondement à la décision (art. 44 al. 1 LPA). Dès le dépôt d’un recours, les parties sont admises en tout temps à consulter le dossier soumis à la juridiction saisie (art. 44 al. 2 LPA). 2.4 En l’espèce, les recourants se plaignent d’abord de la mauvaise tenue du dossier administratif, à savoir de l’absence d’index et de la présence dans le dossier de documents en lien avec une autre procédure d’autorisation de construire. Les recourants indiquent se fonder principalement sur un arrêt du Tribunal administratif fédéral (ci-après : TAF) D-596/2021 du 16 avril 2021. Dans cet arrêt, le TAF rappelle que l’obligation d’une tenue adéquate et le droit à une pagination correcte d’un dossier sont également considérés comme une composante de l’art. 29 al. 2 Cst. ; pour répondre à ces exigences, le dossier doit être complet et comporter l’ensemble des éléments collectés par l’autorité. Ainsi, la gestion du dossier doit être ordonnée, claire et complète de manière qu’il doit être possible de contrôler quelle autorité l’a effectuée et comment elle a été assurée (consid. 2.2 et les arrêts cités). Le TAF constate ensuite que dans la cause relative au requérant d’asile dont il avait à connaître, la copie de la convocation qu’avait produite ce dernier ne figurait pas sur l’index des moyens de preuve, que le procès-verbal de son audition ne lui avait pas été remis à consultation ou encore que le recourant se trouvait dans l’impossibilité de savoir dans quelle mesure ladite convocation, élément essentielle de sa demande d’asile, avait été examinée</w:t>
      </w:r>
    </w:p>
    <w:p>
      <w:r>
        <w:t>- 13/19 - A/1532/2022 et traduite. Le TAF retient ensuite que le recourant avait indiqué à l’autorité en cause que sa gestion du dossier était déficiente, peu claire et pour ainsi dire chaotique et qu’il s’était plaint de ne pas avoir eu accès au dossier concernant la procédure aéroport, dont il manquerait un index. Le TAF arrive ainsi au constat qu’il est empêché de savoir quelles pièces ont été transmises au recourant et, à fortiori, si l’autorité avait bien transmis toutes les pièces du dossier soumises à consultation. Aucun index en relation avec la procédure aéroport n’ayant été remise au recourant, il était lui-même également dans l’impossibilité de s’assurer qu’il était en possession de toutes les pièces ouvertes à consultation. Dans ces circonstances, il ne lui était pas possible de savoir quels documents faisaient partie intégrante de son dossier et il soutenait à bon escient ne pas être en mesure de compléter son mémoire recours. Le cas d’espèce n’est en rien comparable à la situation décrite ci-dessus, le dossier papier versé à la procédure par l’autorité intimée n’ayant rien de chaotique. Les divers documents sont classés dans six fourres différentes sur lesquelles il est indiqué ce que chacune contient (requête ou plans par exemple) et comment les pièces y sont classées (chronologiquement ou selon un code par exemple). Les pièces sont ainsi facilement accessibles et rapidement identifiables, l’absence d’un index n’étant pas un handicap à une bonne appréhension du dossier. Le dossier est également accessible au format numérique. Les recourants ont versé à la procédure une clé USB contenant le dossier sous cette forme et accessible sous les pièces nos 21 et 23 de leur chargé. Les documents figurant dans les pièces nos 21 et 23 sont les mêmes. Alors que dans la pièce n° 21 les documents sont classés dans plusieurs répertoires et sous répertoires, toutes les pièces sont classées dans un seul répertoire dans la pièce n° 23. S’il est moins facile d’appréhender le dossier dans ses versions informatisées que dans sa version papier, les noms des répertoires ou des fichiers étant peu explicites, il n’est néanmoins pas très difficile d’avoir une idée claire des pièces pertinentes qui le constituent, ces pièces n’étant pas très nombreuses. Les recourants n’indiquent pas s’ils ont ou non consulté le dossier papier qui leur était accessible, étant finalement précisé que toutes les pièces utiles figurent tant dans la version papier que dans la version numérique. Il est certes regrettable que des pièces étrangères à la procédure en cause figurent dans le dossier. Cela étant, et comme cela sera examiné plus loin, l’ensemble des pièces utiles à la compréhension de l’installation litigieuse y figure. Les pièces qui ne devraient pas figurer dans le dossier de la présente cause – à savoir des plans pour ce qui concerne la version papier et des plans ainsi qu’une fiche de données spécifique au site pour ce qui concerne les versions numériques – apparaissant d’emblée comme erronées du fait de la mention d’une adresse différente, les bâtiments représentés sur les plans n’étant à l’évidence pas les mêmes. Les recourants ont pu recourir en personne devant le TAPI en soulevant des griefs de fond, sans qu’il apparaisse qu’ils auraient confondu les plans figurant dans le dossier. Ils ne le soutiennent du reste pas.</w:t>
      </w:r>
    </w:p>
    <w:p>
      <w:r>
        <w:t>- 14/19 - A/1532/2022 Ce grief sera en conséquence écarté. 2.5 Les recourants se plaignent ensuite d’une violation de leur droit d’être entendus en lien avec l’art. 3 al. 2 LCI. Cette disposition prévoit que pendant un délai de 30 jours à compter de la publication, chacun peut consulter les demandes d’autorisation et les plans au département et lui transmettre ses observations par une déclaration écrite. Selon les recourants, l’autorité intimée n’aurait pas eu connaissance des deux courriers d’opposition, dont l’un comportait une pétition. Il ressort du dossier que l’autorité intimée a bien eu connaissance de ces deux oppositions. Elle en a accusé réception et y a répondu le 8 avril 2022. Le fait de savoir, comme le soutiennent les recourants dans leur réplique, si c’est à tort que la ville indique n’avoir reçu aucune opposition alors qu’elle est censée avoir reçu la copie d’une de celles reçues par l’OCAN est sans importance, l’autorité compétente en ayant pris connaissance et donné la suite qui convient. Ce grief doit en conséquence être écarté. 3. Les recourants soulèvent le grief d’une violation de l’art. 9 al. 2 RCI, en particulier des let. k et l. Ils relèvent que le dossier ne contiendrait ni un plan reproduisant la façade est, ni un plan de coupe. Des données nécessaires à la compréhension des calculs réalisés par l’intimée manqueraient également de sorte qu’il y aurait matière à s’interroger sur l’attribution de la valeur d’amortissement la plus élevée autorisée à l’immeuble puisqu’il semblait que la toiture présenterait une épaisseur et une qualité inférieure à la moyenne. 3.1 Selon l’art. 9 al. 1 RCI, la demande définitive doit être adressée au département sur formule officielle, en 10 exemplaires. Dans le but d'accélérer l'instruction d'une demande impliquant le recueil de nombreux préavis ou en fonction de l'importance de l'objet, le département peut solliciter un nombre inférieur ou supérieur d'exemplaires. L’art. 9 al. 2 RCI prévoit qu’il y a lieu de joindre notamment les plans et documents suivants :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(10 ex.) (let. k) ; une élévation cotée de toutes les façades avec indication des parties ouvrantes. Les façades sur rue doivent toujours porter les cotes de hauteur au-dessus du niveau de la rue. Pour les villas et bâtiments ruraux, le terrain naturel doit être indiqué sur chaque façade et sur la coupe (10 ex.). Des photographies de l’état antérieur aux travaux, avec l’indication des constructions et aménagements projetés, ainsi que des photographies des bâtiments voisins, avec l’indication de la construction projetée, peuvent être exigées. Le département peut également exiger, selon l’importance du projet, la réalisation d’une maquette (let. l).</w:t>
      </w:r>
    </w:p>
    <w:p>
      <w:r>
        <w:t>- 15/19 - A/1532/2022 3.2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(ATA/246/2016 précité consid. 7b). 3.3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3.4 En l'espèce, le dossier contient un extrait du plan de base, un extrait du plan cadastral, le plan de la toiture et les plans des façades nord et ouest. Si ces documents et indications ne sauraient satisfaire formellement aux exigences posées par l’art. 9 al. 2 let. l et k RCI, ils ont suffi au département pour analyser le projet et son impact. Du reste, une seule des instances consultées a sollicité la production d’un document complémentaire à ceux déposés avec la demande d’autorisation, à savoir la DAC qui, avant de délivrer son préavis positif, a demandé une élévation du projet. Pour ce qui concerne la composition et l’épaisseur du toit, les recourants renvoient au courrier d’opposition de l’habitant du chemin G______. Il apparaît que les remarques formulées par cet habitant ont été prises en compte, l’OAC lui ayant répondu avoir procédé à un examen attentif de ses observations. Pour le reste, les recourants se contentent de s’interroger sur la valeur d’amortissement retenue sans apporter le moindre élément qui permettrait de remettre en cause le travail effectué par les instances spécialisées. Ce grief sera dès lors écarté. 4. Les recourants soulèvent ensuite le grief d’une violation du principe de coordination.</w:t>
      </w:r>
    </w:p>
    <w:p>
      <w:r>
        <w:t>- 16/19 - A/1532/2022 4.1 Le principe de coordination formelle et matérielle est ancré à l'art. 25a de la loi fédérale sur l’aménagement du territoire du 22 juin 1979 (LAT - RS 700).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(arrêts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 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 L’art. 3A LCI le prévoit aussi. 4.2 Dans le cas d’espèce, la démolition de l’antenne GE 4______-1 n’est pas nécessaire à l’installation des antennes en cause, celle-ci étant installée sur un autre toit. Pour le reste, il n’est pas question que les deux installations fonctionnent en même temps dès lors que, comme cela ressort du préavis du SABRA qui fait partie intégrante de l’autorisation de construire, une attestation du démontage du site GE2______-1 devra être déposée à la fermeture du chantier. Il en découle que, à supposer qu’une autorisation de démolir soit nécessaire, la demande pourra être déposée ultérieurement. Ce grief sera écarté.</w:t>
      </w:r>
    </w:p>
    <w:p>
      <w:r>
        <w:rPr>
          <w:b/>
        </w:rPr>
        <w:t>E. 5</w:t>
      </w:r>
    </w:p>
    <w:p>
      <w:r>
        <w:t>Les recourants soulèvent enfin les griefs de violation du principe de l’interdiction de l’arbitraire et de l’excès négatif du pouvoir d’appréciation. Selon eux, au-delà des griefs déjà soulevés, la décision querellée irait dans son résultat encore plus loin dans l’arbitraire en s’inscrivant en contradiction avec la réalité. Elle intégrait des plans sans lien avec elle, ce qui aurait pour conséquence, en contradiction</w:t>
      </w:r>
    </w:p>
    <w:p>
      <w:r>
        <w:t>- 17/19 - A/1532/2022 avec l’état de fait, d’imposer à l’installation en cause d’être conforme à celle planifiée à la rue de la H______ ______-______. Le département n’aurait au surplus pas examiné les documents relatifs au projet en lien avec la rue H______ qui faisaient pourtant partie intégrante de la décision litigieuse. Ce faisant, l’autorité aurait émis une décision en ignorant une part importante de sa portée matérielle et commis en conséquence un excès négatif de son pouvoir d’appréciation. Le département se serait par ailleurs muré dans une solution schématique en refusant de faire usage de son pouvoir d’appréciation s’agissant de la toiture de l’immeuble.</w:t>
      </w:r>
    </w:p>
    <w:p>
      <w:r>
        <w:rPr>
          <w:b/>
        </w:rPr>
        <w:t>E. 5.1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w:t>
      </w:r>
    </w:p>
    <w:p>
      <w:r>
        <w:rPr>
          <w:b/>
        </w:rPr>
        <w:t>E. 5.2</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(ATA/926/2021 du 7 septembre 2021 consid. 6b ; Thierry TANQUEREL, Manuel de droit administratif, 2e éd., 2018, n. 514).</w:t>
      </w:r>
    </w:p>
    <w:p>
      <w:r>
        <w:rPr>
          <w:b/>
        </w:rPr>
        <w:t>E. 5.3</w:t>
      </w:r>
    </w:p>
    <w:p>
      <w:r>
        <w:t>En l’espèce, comme cela a déjà été relevé précédemment, il est regrettable que des documents étrangers à la procédure litigieuse figurent dans le dossier. Il est également fâcheux que des plans sans lien avec l’autorisation contestée lui soient annexés. Cela étant, il s’agit à l’évidence d’une erreur, toutes les pièces utiles et nécessaires se trouvant quoi qu’il en soit dans le dossier ou étant annexées à la décision en cause. Il y a ainsi lieu de renoncer, par économie de procédure et pour éviter tout formalisme excessif, à demander au département de rendre une autre décision car, même si la nouvelle décision se voyait amputée des annexes qui ne concernent pas le projet litigieux, le résultat serait à l’évidence le même. Rien dans le dossier ne permet de retenir que l’autorité n’aurait pas correctement pris en compte les pièces utiles à la présente procédure. L’autorité intimée a suivi les préavis des instances spécialisées et aucun motif ne conduit à retenir qu’elle aurait dû s’en écarter.</w:t>
      </w:r>
    </w:p>
    <w:p>
      <w:r>
        <w:t>- 18/19 - A/1532/2022 Les griefs de violation du pouvoir d’appréciation et de l’arbitraire seront écartés, la décision litigieuse étant, comme cela a pour le reste été examiné, conforme au droit. Ces derniers griefs seront en conséquence également écartés. Entièrement mal fondé, le recours sera rejeté.</w:t>
      </w:r>
    </w:p>
    <w:p>
      <w:r>
        <w:rPr>
          <w:b/>
        </w:rPr>
        <w:t>E. 6</w:t>
      </w:r>
    </w:p>
    <w:p>
      <w:r>
        <w:t>Vu l’issue du litige, un émolument de CHF 1'500.- sera mis à la charge solidaire des recourants (art. 87 al. 1 LPA). Une indemnité de procédure de CHF 1'500.- sera allouée à la société intimée, qui y a conclu,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