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ATA/997/2018 vom 25. September 2018</w:t>
      </w:r>
    </w:p>
    <w:p>
      <w:r>
        <w:t>GE Cour de justice, 2018-09-25, FR</w:t>
      </w:r>
    </w:p>
    <w:p>
      <w:r>
        <w:rPr>
          <w:b/>
        </w:rPr>
        <w:t xml:space="preserve">Quelle: </w:t>
      </w:r>
      <w:r>
        <w:t>https://mcp.opencaselaw.ch/entscheid/ge_gerichte_ATA_997_2018</w:t>
      </w:r>
    </w:p>
    <w:p>
      <w:r>
        <w:t>FR: GE_GERICHTE ATA/997/2018 du 25 septembre 2018</w:t>
      </w:r>
    </w:p>
    <w:p>
      <w:r>
        <w:t>IT: GE_GERICHTE ATA/997/2018 del 25 settembre 2018</w:t>
      </w:r>
    </w:p>
    <w:p>
      <w:pPr>
        <w:pStyle w:val="Heading2"/>
      </w:pPr>
      <w:r>
        <w:t>Regeste</w:t>
      </w:r>
    </w:p>
    <w:p>
      <w:r>
        <w:t>Résumé: Compte tenu des circonstances très particulières du cas, soit le fait que le gardien présent au moment de l'incident n'a pas pu déterminer lequel des deux détenus possédait l'arme en cause, le courrier ultérieur aux faits du codétenu impliqué reconnaissant son entière responsabilité et l'absence de tout autre moyen de preuve, il faut considérer que la sanction subie par le recourant n'était pas conforme au droit. Constatation du caractère illicite de celle-ci. Recours admis.</w:t>
      </w:r>
    </w:p>
    <w:p>
      <w:pPr>
        <w:pStyle w:val="Heading2"/>
      </w:pPr>
      <w:r>
        <w:t>Erwägungen</w:t>
      </w:r>
    </w:p>
    <w:p>
      <w:r>
        <w:rPr>
          <w:b/>
        </w:rPr>
        <w:t>E. 1</w:t>
      </w:r>
    </w:p>
    <w:p>
      <w:r>
        <w:t>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 art. 60 al. 1 du règlement sur le régime intérieur de la prison et le statut des personnes incarcérées du 30 septembre 1985 - RRIP - F 1 50.04).</w:t>
      </w:r>
    </w:p>
    <w:p>
      <w:r>
        <w:t>a. Aux termes de l’art. 60 al. 1 let. b LPA, ont qualité pour recourir toutes les personnes qui sont touchées directement par une décision et ont un intérêt digne de protection à ce qu’elle soit annulée ou modifiée.</w:t>
      </w:r>
    </w:p>
    <w:p>
      <w:r>
        <w:t>b. Selon la jurisprudence, le recourant doit avoir un intérêt pratique à l’admission du recours, soit que cette admission soit propre à lui procurer un avantage, de nature économique, matérielle ou idéale (ATF 121 II 39 consid. 2 c/aa ; arrêt du Tribunal fédéral 1A.47/2002 du 16 avril 2002, consid. 3 ; ATA/759/2012 du 6 novembre 2012).</w:t>
      </w:r>
    </w:p>
    <w:p>
      <w:r>
        <w:t>c. Un intérêt digne de protection suppose un intérêt actuel à obtenir l’annulation de la décision attaquée (ATF 135 I 79 consid. 1 ; 128 II 34 consid. 1b). L’existence d’un intérêt actuel s’apprécie non seulement au moment du dépôt du recours, mais aussi lors du prononcé de la décision sur recours ; s’il s’éteint pendant la procédure, le recours, devenu sans objet, doit être simplement radié du rôle (ATF 125 V 373 consid. 1 ; 118 Ib 1 consid. 2 ; arrêt du Tribunal fédéral 1C_76/2009 du 30 avril 2009 consid. 2) ou déclaré irrecevable (ATF 123 II 285 consid. 4 ; arrêt du Tribunal fédéral 1C_69/2007 du 11 juin 2007 consid. 2.3).</w:t>
      </w:r>
    </w:p>
    <w:p>
      <w:r>
        <w:t>- 4/9 - A/1490/2018</w:t>
      </w:r>
    </w:p>
    <w:p>
      <w:r>
        <w:t>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 131 II 361 consid. 1.2 ; 128 II 34 ; ATA/418/2012 du 3 juillet 2012 consid. 2d).</w:t>
      </w:r>
    </w:p>
    <w:p>
      <w:r>
        <w:t>e. En l’espèce, le recourant dispose d’un intérêt digne de protection à recourir contre la sanction prononcée à son encontre, la légalité devant pouvoir faire l’objet d’un contrôle en vertu de la jurisprudence du Tribunal fédéral précitée, nonobstant l’absence d’intérêt actuel, dans la mesure où cette situation pourrait encore se présenter (ATA/591/2014 du 29 juillet 2014 consid. 2 ; ATA/183/2013 du 19 mars 2013 et la jurisprudence citée), ce quand bien même le recourant a été transféré dans un autre établissement pénitentiaire genevois, soumis à une réglementation genevoise (ATA/779/2018 du 24 juillet 2018 consid. 2e).</w:t>
      </w:r>
    </w:p>
    <w:p>
      <w:r>
        <w:t>Le recours est donc recevable à tous points de vue.</w:t>
      </w:r>
    </w:p>
    <w:p>
      <w:r>
        <w:rPr>
          <w:b/>
        </w:rPr>
        <w:t>E. 2</w:t>
      </w:r>
    </w:p>
    <w:p>
      <w:r>
        <w:t>Le recourant se plaint de ce que la sanction qui lui a été infligée serait injustifiée.</w:t>
      </w:r>
    </w:p>
    <w:p>
      <w:r>
        <w:rPr>
          <w:b/>
        </w:rPr>
        <w:t>E. 3</w:t>
      </w:r>
    </w:p>
    <w:p>
      <w:r>
        <w:t>Le droit disciplinaire est un ensemble de sanctions dont l’autorité dispose à l’égard d’une collectivité déterminée de personnes, soumises à un statut spécial ou qui, tenues par un régime particulier d’obligations, font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3ème éd., 2011, p. 142 à 145 et la jurisprudence citée).</w:t>
      </w:r>
    </w:p>
    <w:p>
      <w:r>
        <w:rPr>
          <w:b/>
        </w:rPr>
        <w:t>E. 4</w:t>
      </w:r>
    </w:p>
    <w:p>
      <w:r>
        <w:t>Le statut des personnes incarcérées à la prison est régi par le RRIP (art. 1 al. 3 de la loi sur l’organisation et le personnel de la prison du 21 juin 1984 - LOPP - F 1 50).</w:t>
      </w:r>
    </w:p>
    <w:p>
      <w:r>
        <w:t>Un détenu doit respecter les dispositions du RRIP, les instructions du directeur de l’office pénitentiaire et les ordres du directeur et des fonctionnaires de la prison (art. 42 RRIP). Il doit en toutes circonstances adopter une attitude correcte à l’égard du personnel de la prison, des autres personnes incarcérées et</w:t>
      </w:r>
    </w:p>
    <w:p>
      <w:r>
        <w:t>- 5/9 - A/1490/2018 des tiers (art. 44 RRIP), et n’a d’aucune façon le droit de troubler l’ordre et la tranquillité de la prison (art. 45 let. h RRIP).</w:t>
      </w:r>
    </w:p>
    <w:p>
      <w:r>
        <w:t>Il est interdit aux détenus notamment de détenir d’autres objets que ceux qui leur sont remis (art. 45 let. e RRIP), ainsi que d’introduire ou de faire introduire dans l’établissement d’autres objets que ceux autorisés par le directeur (art. 45 let. f RRIP).</w:t>
      </w:r>
    </w:p>
    <w:p>
      <w:r>
        <w:t>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 À teneur de l’art. 47 al. 3 RRIP, le directeur est compétent pour prononcer, notamment, le placement en cellule forte pour dix jours au plus (let. g).</w:t>
      </w:r>
    </w:p>
    <w:p>
      <w:r>
        <w:rPr>
          <w:b/>
        </w:rPr>
        <w:t>E. 5</w:t>
      </w:r>
    </w:p>
    <w:p>
      <w:r>
        <w:t>De jurisprudence constante, la chambre de céans accorde généralement une pleine valeur probante aux constatations figurant dans un rapport de police, établi par des agents assermentés (ATA/502/2018 du 22 mai 2018 et les références citées), sauf si des éléments permettent de s’en écarter. Dès lors que les agents de détention sont également des fonctionnaires assermentés (art. 7 LOPP), le même raisonnement peut être appliqué aux rapports établis par ces derniers.</w:t>
      </w:r>
    </w:p>
    <w:p>
      <w:r>
        <w:rPr>
          <w:b/>
        </w:rPr>
        <w:t>E. 6</w:t>
      </w:r>
    </w:p>
    <w:p>
      <w:r>
        <w:t>Le principe de la proportionnalité, garanti par l’art. 5 al. 2 de la Constitution fédérale de la Confédération suisse du 18 avril 1999 (Cst. - RS 101),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w:t>
      </w:r>
    </w:p>
    <w:p>
      <w:r>
        <w:t>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ATA/735/2013 du 5 novembre 2013 consid. 11).</w:t>
      </w:r>
    </w:p>
    <w:p>
      <w:r>
        <w:rPr>
          <w:b/>
        </w:rPr>
        <w:t>E. 7</w:t>
      </w:r>
    </w:p>
    <w:p>
      <w:r>
        <w:t>Dans sa jurisprudence récente, la chambre de céans a eu à statuer sur des recours de détenus contre des décisions de sanction consistant en leur placement en cellule forte pour la détention d’objets autres que ceux qui leur sont remis (art. 45 let. e RIPP ; ATA/658/2017 du 13 juin 2017 consid. 7).</w:t>
      </w:r>
    </w:p>
    <w:p>
      <w:r>
        <w:t>- 6/9 - A/1490/2018</w:t>
      </w:r>
    </w:p>
    <w:p>
      <w:r>
        <w:t>a. Dans l’ATA/264/2017 du 7 mars 2017 (consid. 5), la chambre administrative a confirmé que la découverte d’un rasoir modifié en arme lors de la fouille complète d’une cellule, introduit dans cette dernière à une période à laquelle le recourant y résidait, impliquait qu’il devait en connaître l’existence et l’emplacement, et qu’il en était le détenteur avec son codétenu, lequel avait également été sanctionné pour ce fait. Il ne s’agissait pas d’une sanction collective. Compte tenu de la dangerosité incontestable de l’objet en cause, la mise en cellule forte du recourant pendant trois jours apparaissait conforme au principe de la proportionnalité.</w:t>
      </w:r>
    </w:p>
    <w:p>
      <w:r>
        <w:t>b. Une sanction de cinq jours de cellule forte a été jugée proportionnée pour la détention d’un téléphone portable pour quelqu’un avec des antécédents disciplinaires (ATA/183/2013 du 19 mars 2013). Au vu de l’ensemble des circonstances, y compris l’audition par le juge délégué d’un agent de détention, il apparaissait vraisemblable que le recourant ait bien été le détenteur du téléphone portable retrouvé en pièces détachées par un gardien en dessous de la fenêtre de sa cellule.</w:t>
      </w:r>
    </w:p>
    <w:p>
      <w:r>
        <w:t>c. Dans l’ATA/1263/2015 du 24 novembre 2015 (consid. 6), le recourant se plaignait d’avoir été puni à tort et que le véritable propriétaire des objets prohibés retrouvés dans la cellule (une clé USB noire, un téléphone emballé dans de l’aluminium, une clé de voiture, un chargeur et une lame de rasoir trafiquée dans une veste appartenant à l’un des codétenus) n’avait pas été sanctionné car il bénéficiait de la complicité des surveillants qui lui livreraient des téléphones et des médicaments. Le complément d’enquête, faisant suite à la dénonciation des faits par la chambre de céans au Ministère public, avait révélé que les allégations du recourant n’avaient pas pu être étayées. L’argumentation soutenue par ce dernier n’était dès lors pas crédible. En outre, l’attitude du recourant durant l’enquête consistant à prétendre « n’avoir rien vu ni entendu » de ce qu’il se passait au sein d’un espace fermé à l’intérieur duquel il se trouvait avec ses codétenus était d’une part, invraisemblable, et d’autre part, en totale contradiction avec les faits qu’il avait dévoilés à l’appui de son recours, puis confirmés lors de son audition devant l’Inspection générale des services. Au vu des éléments du dossier et, compte tenu de la nature de l’infraction disciplinaire, de son contexte et du fait que le recourant s’était lui-même retrouvé en possession d’objets durant l’exécution de la sanction litigieuse, la décision de sanctionner, ainsi que la quotité de la sanction infligée de cinq jours de cellule forte, étaient justifiées et respectaient le principe de la proportionnalité.</w:t>
      </w:r>
    </w:p>
    <w:p>
      <w:r>
        <w:t>d. À l’inverse, une sanction a été jugée illicite dans l’ATA/1085/2016 du 20 décembre 2016 (consid. 9). Le recourant était en cellule forte pendant six jours au moment de la découverte, dans sa cellule, partagée avec des codétenus, d’un téléphone portable. Il subissait des fouilles à nu après chaque parloir. Lors d’une précédente fouille six mois plus tôt de ladite cellule, alors que plusieurs objets</w:t>
      </w:r>
    </w:p>
    <w:p>
      <w:r>
        <w:t>- 7/9 - A/1490/2018 prohibés avaient été découverts, le recourant et un autre détenu, après leur audition, n’avaient pas été sanctionnés. Le recourant avait cependant été sanctionné pour détention d’un objet prohibé un an auparavant. Toutefois, aucun rapport au dossier ne précisait de quel type d’objet il s’agissait à ce moment-là. Pourtant, dans les autres cas cités de découvertes d’objets interdits en cellule, soit le 7 juillet 2014 et le 14 janvier 2015, les rapports faisaient état respectivement, d’une clé USB, d’un téléphone emballé dans l’aluminium, d’une clé de voiture, d’un chargeur et d’une lame de rasoir trafiquée, ainsi que d’un téléphone et de son chargeur. Par ailleurs, en tenant compte du fait que le recourant rencontrait son épouse au moins une fois par semaine, son intérêt à la détention d’un téléphone apparaissait faible par rapport au risque d’être sanctionné en cas de sa découverte dans sa cellule. En tout état, la sanction disciplinaire prononcée ne pouvait pas être envisagée sous l’angle d’une punition collective en raison du principe de l’individualisation de la sanction. Le directeur de la prison avait du reste justifié le placement en cellule forte du recourant non comme une sanction collective, mais comme une sanction individuelle, celui-ci ayant pu faire usage du téléphone en cause. Aucun indice ne venait cependant, dans le dossier, corroborer ce soupçon d’utilisation du téléphone en cause. Dans ces circonstances, le grief d’avoir été impliqué à tort dans l’introduction du téléphone en cause dans la cellule et dans son utilisation devait être considéré comme fondé. La sanction que le recourant avait subie à ce titre n’était dès lors pas conforme au droit.</w:t>
      </w:r>
    </w:p>
    <w:p>
      <w:r>
        <w:rPr>
          <w:b/>
        </w:rPr>
        <w:t>E. 8</w:t>
      </w:r>
    </w:p>
    <w:p>
      <w:r>
        <w:t>En l’espèce, le rapport établi le jour de l’incident, soit le 26 avril 2018, indique qu’un objet était tombé au sol lorsque le recourant et son codétenu étaient passés devant le gardien à leur sortie de la cellule pour se rendre à la douche. Le gardien avait précisé qu’il n’avait pas pu déterminer duquel des deux détenus l’objet était tombé. Entendus par le gardien-chef, tous deux avaient contesté posséder cette arme, avant que le codétenu du recourant ne le dénonce, ce que celui-ci avait violemment contesté. En ces circonstances, ils ont tous deux été placés en cellule forte du 26 avril 2018 à 17h10 jusqu’au 29 avril 2018 à 17h10.</w:t>
      </w:r>
    </w:p>
    <w:p>
      <w:r>
        <w:t>Dans le cadre de son recours, le recourant persiste à contester avoir possédé l’arme artisanale découverte, en demandant à pouvoir être entendu afin de s’expliquer à ce sujet. Il n’a toutefois pas donné suite au délai qui lui a été imparti pour formuler des observations complémentaires à réception de la réponse circonstanciée du directeur de la prison.</w:t>
      </w:r>
    </w:p>
    <w:p>
      <w:r>
        <w:t>Cela étant dit, le 4 mai 2018, M. C______ a lui-même adressé à la chambre de céans un courrier, dans lequel il reconnaît être le propriétaire de l’arme en cause et avoir accusé à tort le recourant. D’emblée, il sied de relever que l’envoi de cette missive a eu lieu après que les deux détenus ont purgé leur sanction. Cela signifie notamment que durant trois jours, ceux-ci ont été totalement séparés, de sorte qu’il apparaît improbable que le recourant ait pu exercer une quelconque forme de pression sur son codétenu durant ce laps de temps.</w:t>
      </w:r>
    </w:p>
    <w:p>
      <w:r>
        <w:t>- 8/9 - A/1490/2018</w:t>
      </w:r>
    </w:p>
    <w:p>
      <w:r>
        <w:t>En ces circonstances particulières, on ne voit pas quel aurait été l’intérêt pour M. C______ de se dénoncer à ce stade, alors que le recourant et lui avaient déjà exécuté leur sanction. Compte tenu, notamment, du fait que le gardien présent au moment de l’incident n’a pas pu déterminer lequel des deux détenus possédait l’arme en cause et de l’absence de tout autre moyen de preuve, les éléments versés au dossier ne permettent pas de remettre en question le contenu de ces aveux.</w:t>
      </w:r>
    </w:p>
    <w:p>
      <w:r>
        <w:t>Vu l’ensemble des circonstances très particulières du cas, bien que, sous l’angle de la proportionnalité, l’objet visé, de par sa nature, revête une dangerosité certaine, il faut considérer le grief d’avoir été impliqué à tort dans la possession de l’arme prohibée comme fondé. La sanction que le recourant a subie à ce titre n’était dès lors pas conforme au droit.</w:t>
      </w:r>
    </w:p>
    <w:p>
      <w:r>
        <w:rPr>
          <w:b/>
        </w:rPr>
        <w:t>E. 9</w:t>
      </w:r>
    </w:p>
    <w:p>
      <w:r>
        <w:t>Le placement en cellule forte ayant été exécuté, il n’est matériellement plus possible de l’annuler. La chambre de céans se limitera à constater son caractère illicite (ATA/1085/2016 du 20 décembre 2016 et les références citées).</w:t>
      </w:r>
    </w:p>
    <w:p>
      <w:r>
        <w:rPr>
          <w:b/>
        </w:rPr>
        <w:t>E. 10</w:t>
      </w:r>
    </w:p>
    <w:p>
      <w:r>
        <w:t>Les considérants qui précèdent conduisent à l’admission du recours.</w:t>
      </w:r>
    </w:p>
    <w:p>
      <w:r>
        <w:rPr>
          <w:b/>
        </w:rPr>
        <w:t>E. 11</w:t>
      </w:r>
    </w:p>
    <w:p>
      <w:r>
        <w:t>Vu la nature du litige, aucun émolument ne sera perçu (art. 87 al. 1 LPA ; art. 12 al. 1 du règlement sur les frais, émoluments et indemnités en procédure administrative du 30 juillet 1986 - RFPA - E 5 10.03). Faute de conclusions en ce sens et le recourant comparaissant en personne,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