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ATA/996/2018 vom 25. September 2018</w:t>
      </w:r>
    </w:p>
    <w:p>
      <w:r>
        <w:t>GE Cour de justice, 2018-09-25, FR</w:t>
      </w:r>
    </w:p>
    <w:p>
      <w:r>
        <w:rPr>
          <w:b/>
        </w:rPr>
        <w:t xml:space="preserve">Quelle: </w:t>
      </w:r>
      <w:r>
        <w:t>https://mcp.opencaselaw.ch/entscheid/ge_gerichte_ATA_996_2018</w:t>
      </w:r>
    </w:p>
    <w:p>
      <w:r>
        <w:t>FR: GE_GERICHTE ATA/996/2018 du 25 septembre 2018</w:t>
      </w:r>
    </w:p>
    <w:p>
      <w:r>
        <w:t>IT: GE_GERICHTE ATA/996/2018 del 25 settembre 2018</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a. La LIASI a pour but de prévenir l’exclusion sociale et d’aider les personnes qui en souffrent à se réinsérer dans un environnement social et professionnel (art. 1 al. 1).</w:t>
      </w:r>
    </w:p>
    <w:p>
      <w:r>
        <w:t>Ont droit aux prestations d’aide financière les personnes dont le revenu mensuel déterminant n’atteint pas le montant destiné à la couverture des besoins de base et dont la fortune ne dépasse pas les limites fixées par règlement du Conseil d’État (art. 21 al. 1 LIASI). Font partie des besoins de base, notamment, le loyer ainsi que les charges y relatives (art. 21 al. 2 let. b LIASI).</w:t>
      </w:r>
    </w:p>
    <w:p>
      <w:r>
        <w:t>b.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w:t>
      </w:r>
    </w:p>
    <w:p>
      <w:r>
        <w:t>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(ATA/265/2017 du 7 mars 2017 consid. 15b ; ATA/1024/2014 du 16 décembre 2014). Un assuré qui viole ses obligations d’informer l’hospice de sa situation</w:t>
      </w:r>
    </w:p>
    <w:p>
      <w:r>
        <w:t>- 5/7 - A/146/2018 financière ne peut être considéré de bonne foi (ATA/306/2017 du 21 mars 2017 consid. 6 ; ATA/1152/2015 du 27 octobre 2015 consid. 14).</w:t>
      </w:r>
    </w:p>
    <w:p>
      <w:r>
        <w:t>c. Le bénéficiaire qui était de bonne foi n'est tenu au remboursement, total ou partiel, que dans la mesure où il ne serait pas mis, de ce fait, dans une situation difficile (art. 42 LIASI).</w:t>
      </w:r>
    </w:p>
    <w:p>
      <w:r>
        <w:rPr>
          <w:b/>
        </w:rPr>
        <w:t>E. 3</w:t>
      </w:r>
    </w:p>
    <w:p>
      <w:r>
        <w:t>En l’espèce, le recourant ne conteste pas qu’il n’a pas immédiatement informé l’intimé de certains des revenus familiaux. Il décrit ses difficultés financières. Il allègue que son loyer, de CHF 2’650.-, n’a pas été entièrement pris en charge par l’hospice, ce fait contribuant à son appauvrissement. Toutefois, le principe d’un plafonnement du loyer pris en charge, conformément au nombre de personnes concernées par le logement, est conforme à l’art. 3 du règlement d'exécution de la loi sur l'insertion et l'aide sociale individuelle du 25 juillet 2007 (RIASI - J 4 04.01). Le recourant ne peut non plus se prévaloir du fait que les comptes d’C______ lui appartiennent et qu’elle n’avait pas demandé d’aide à l’hospice alors qu’elle a bénéficié de prestations financières à la charge de la collectivité ce que les décomptes de l’hospice indiquent.</w:t>
      </w:r>
    </w:p>
    <w:p>
      <w:r>
        <w:t>Il ressort du décompte précis et détaillé établi par l’hospice que, depuis le mois de janvier 2012, régulièrement, chaque mois ou presque, le recourant et sa famille ont encaissé des sommes qu’ils n’ont pas annoncées, pouvant s’élever, selon les mois, jusqu’à CHF 8'368.-. Or, en n’informant pas l’hospice des revenus perçus, le recourant a contrevenu à son engagement de tenir celui-ci immédiatement informé des modifications survenues, notamment dans sa situation financière ou dans celle de sa famille.</w:t>
      </w:r>
    </w:p>
    <w:p>
      <w:r>
        <w:t>Les circonstances du cas d’espèce ne permettent pas de retenir la bonne foi du recourant. L’hospice était ainsi fondé à lui réclamer le montant litigieux au sens de l'art. 42 al. 1 LIASI. La deuxième condition, à savoir celle de la situation difficile que pourrait engendrer le remboursement, n'a pas lieu d'être traitée, les conditions posées par la disposition légale étant cumulatives.</w:t>
      </w:r>
    </w:p>
    <w:p>
      <w:r>
        <w:t>Manifestement mal fondé, le recours sera rejeté.</w:t>
      </w:r>
    </w:p>
    <w:p>
      <w:r>
        <w:rPr>
          <w:b/>
        </w:rPr>
        <w:t>E. 4</w:t>
      </w:r>
    </w:p>
    <w:p>
      <w:r>
        <w:t>Vu la nature du litige, il ne sera pas perçu d’émolument (art. 87 al. 1 LPA ; art. 11 du règlement sur les frais, émoluments et indemnités en procédure administrative du 30 juillet 1986 - RFPA - E 5 10.03), ni alloué d’indemnité de procédure (art. 87 al. 2 LPA).</w:t>
      </w:r>
    </w:p>
    <w:p>
      <w:r>
        <w:t>* * * * *</w:t>
      </w:r>
    </w:p>
    <w:p>
      <w:r>
        <w:t>- 6/7 - A/146/2018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