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ATA/996/2014 vom 16. Dezember 2014</w:t>
      </w:r>
    </w:p>
    <w:p>
      <w:r>
        <w:t>GE Cour de justice, 2014-12-16, FR</w:t>
      </w:r>
    </w:p>
    <w:p>
      <w:r>
        <w:rPr>
          <w:b/>
        </w:rPr>
        <w:t xml:space="preserve">Quelle: </w:t>
      </w:r>
      <w:r>
        <w:t>https://mcp.opencaselaw.ch/entscheid/ge_gerichte_ATA_996_2014</w:t>
      </w:r>
    </w:p>
    <w:p>
      <w:r>
        <w:t>FR: GE_GERICHTE ATA/996/2014 du 16 décembre 2014</w:t>
      </w:r>
    </w:p>
    <w:p>
      <w:r>
        <w:t>IT: GE_GERICHTE ATA/996/2014 del 16 dicembre 2014</w:t>
      </w:r>
    </w:p>
    <w:p>
      <w:pPr>
        <w:pStyle w:val="Heading2"/>
      </w:pPr>
      <w:r>
        <w:t>Erwägungen</w:t>
      </w:r>
    </w:p>
    <w:p>
      <w:r>
        <w:rPr>
          <w:b/>
        </w:rPr>
        <w:t>E. 1</w:t>
      </w:r>
    </w:p>
    <w:p>
      <w:r>
        <w:t>Interjeté en temps utile devant la juridiction compétente, le recours est recevable (art. 132 de la loi sur l'organisation judiciaire du 26 septembre 2010 - LOJ - E 2 05 ; 62 al. 1 let. a de la loi sur la procédure administrative du 12 septembre 1985 - LPA - E 5 10).</w:t>
      </w:r>
    </w:p>
    <w:p>
      <w:r>
        <w:rPr>
          <w:b/>
        </w:rPr>
        <w:t>E. 2</w:t>
      </w:r>
    </w:p>
    <w:p>
      <w:r>
        <w:t>La chambre administrative applique le droit d'office. Elle ne peut pas aller au-delà des conclusions des parties, sans toutefois être liée par les motifs invoqués (art. 69 LPA) ni par l'argumentation juridique développée dans la décision entreprise (Pierre MOOR/Étienne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rPr>
          <w:b/>
        </w:rPr>
        <w:t>E. 3</w:t>
      </w:r>
    </w:p>
    <w:p>
      <w:r>
        <w:t>L’examen du présent litige suppose d’établir les principes applicables au regard du droit de fond ordinaire (art. 18 et 21 al. 1 LEtr consid. 4 ci-après), des particularités liées aux engagements internationaux de la Suisse envers le Canada (art. 100 LEtr consid. 5 ci-après), et enfin des exceptions pouvant potentiellement trouver à s’appliquer (art. 21 al. 3 LEtr consid. 6 ci-après).</w:t>
      </w:r>
    </w:p>
    <w:p>
      <w:r>
        <w:rPr>
          <w:b/>
        </w:rPr>
        <w:t>E. 4</w:t>
      </w:r>
    </w:p>
    <w:p>
      <w:r>
        <w:t>a. Conformément à l'art. 18 LEtr, un étranger peut être admis en vue d'exercer une activité lucrative salariée aux conditions suivantes: son admission sert les intérêts économiques du pays (let. a) ; son employeur a déposé une demande (let. b) ; les conditions fixées aux art. 20 à 25 LEtr sont remplies (let. c). La notion d'« intérêts économiques du pays » est formulée de façon ouverte. Elle vise en premier lieu le domaine du marché du travail (cf. Message du Conseil fédéral du</w:t>
      </w:r>
    </w:p>
    <w:p>
      <w:r>
        <w:rPr>
          <w:b/>
        </w:rPr>
        <w:t>E. 8</w:t>
      </w:r>
    </w:p>
    <w:p>
      <w:r>
        <w:t>Il suit de là que c’est à l’aune du régime ordinaire qu’il y a lieu d’appréhender la présente espèce.</w:t>
      </w:r>
    </w:p>
    <w:p>
      <w:r>
        <w:t>En l’occurrence, il faut d’emblée constater que le recourant n’a pas respecté les exigences liées au principe de priorité. Il n’a même pas annoncé le poste vacant à l’office régional de placement, contrairement aux directives claires en la matière. À cet égard, quand bien même la recherche d'un jeune architecte peut bien sûr nécessiter diverses démarches auprès de candidats potentiels, les difficultés qui en résulteraient ne sauraient à elles seules justifier une exception au principe de la priorité dans le recrutement énoncé par l'art. 21 al. 1 LEtr, conformément à la pratique constante des autorités en ce domaine (notamment arrêt du TAF C-6074/2010 du 19 avril 2011 consid. 5.3 et les réf. citées). Si le contenu du protocole est pertinent à certains égards, force est de constater que sa portée est limitée aux séjours de courte durée ou à l’année, et non pour un séjour de longue durée, comme demandé à travers la présente procédure, et la formation de Mme C______ ne répond pas aux critères posés en la matière, comme déjà relevé ci-dessus au consid. 7. Pour le surplus, on peut là encore renvoyer aux considérants convaincants des juges précédents (consid. 15 ss).</w:t>
      </w:r>
    </w:p>
    <w:p>
      <w:r>
        <w:t>Au vu de ce qui précède, le recourant n'a pas apporté la preuve lui incombant en rendant vraisemblable qu’il a fourni des efforts de recrutement suffisants et que ceux-ci ne lui ont pas permis de trouver un employé en respectant l'ordre de priorité de l'art. 21 LEtr, cela même en intégrant dans l’appréciation du litige l’assouplissement voulu par le protocole. Mal fondé, le grief ne peut donc qu’être rejeté.</w:t>
      </w:r>
    </w:p>
    <w:p>
      <w:r>
        <w:rPr>
          <w:b/>
        </w:rPr>
        <w:t>E. 9</w:t>
      </w:r>
    </w:p>
    <w:p>
      <w:r>
        <w:t>Le recours doit donc être rejeté. Un émolument de CHF 1'500.- sera mis à la charge du recourant, qui succombe (art. 87 al. 1 LPA). Il ne sera pas alloué d’indemnité (art. 87 al. 2 LPA). * * * * *</w:t>
      </w:r>
    </w:p>
    <w:p>
      <w:r>
        <w:t>- 8/10 - A/2794/2012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