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ATA/98/2024 vom 30. Januar 2024</w:t>
      </w:r>
    </w:p>
    <w:p>
      <w:r>
        <w:t>GE Cour de justice, 2024-01-30, FR</w:t>
      </w:r>
    </w:p>
    <w:p>
      <w:r>
        <w:rPr>
          <w:b/>
        </w:rPr>
        <w:t xml:space="preserve">Quelle: </w:t>
      </w:r>
      <w:r>
        <w:t>https://mcp.opencaselaw.ch/entscheid/ge_gerichte_ATA_98_2024</w:t>
      </w:r>
    </w:p>
    <w:p>
      <w:r>
        <w:t>FR: GE_GERICHTE ATA/98/2024 du 30 janvier 2024</w:t>
      </w:r>
    </w:p>
    <w:p>
      <w:r>
        <w:t>IT: GE_GERICHTE ATA/98/2024 del 30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- 5/10 - A/3285/2022</w:t>
      </w:r>
    </w:p>
    <w:p>
      <w:r>
        <w:rPr>
          <w:b/>
        </w:rPr>
        <w:t>E. 05</w:t>
      </w:r>
    </w:p>
    <w:p>
      <w:r>
        <w:t>; art. 62 al. 1 let. a et 63 al. 1 let. b de la loi sur la procédure administrative du 12 septembre 1985 - LPA - E 5 10). 2. Les recourants concluent préalablement à l’audition de A______ et de son ex- compagne, D______.</w:t>
      </w:r>
    </w:p>
    <w:p>
      <w:r>
        <w:t>2.1 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t>2.2 En l’espèce, les recourants ont eu l’occasion d’exposer leurs arguments et de produire les pièces qu’ils jugeaient nécessaires pour appuyer leurs écritures, tant devant l’autorité intimée, le TAPI que devant la chambre de céans. Ils n’exposent pas quels éléments supplémentaires l’audition du recourant apporterait à l’instruction de la cause qu’ils n’auraient pas pu développer par écrit, étant rappelé que les recourants ne disposent d’aucun droit à être entendus oralement par la chambre de céans. Il en va de même de l’audition de témoins, en l’occurrence de l’ex-compagne du recourant, qui doit être refusée pour les mêmes motifs. Le dossier contenant tous les éléments permettant à la chambre de céans de trancher le litige, il ne sera pas donné suite à la demande des recourants. 3. Le recours a pour objet la décision de l’autorité intimée du 5 septembre 2022 refusant d’entrer en matière sur la demande de reconsidération de la décision du</w:t>
      </w:r>
    </w:p>
    <w:p>
      <w:r>
        <w:rPr>
          <w:b/>
        </w:rPr>
        <w:t>E. 6</w:t>
      </w:r>
    </w:p>
    <w:p>
      <w:r>
        <w:t>octobre 2020 et prononçant son renvoi de Suisse de même que celui de sa fille B______.</w:t>
      </w:r>
    </w:p>
    <w:p>
      <w:r>
        <w:t>3.1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ATA/1301/2023 du 5 décembre 2023 consid. 5.2).</w:t>
      </w:r>
    </w:p>
    <w:p>
      <w:r>
        <w:t>- 6/10 - A/3285/2022</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la remise en question de cette dernière (ATA/1115/2023 du 10 octobre 2023 consid. 2.1 et les références citées).</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w:t>
      </w:r>
    </w:p>
    <w:p>
      <w:r>
        <w:t>3.2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Si toutefois la situation a changé, les conditions posées au réexamen seront en principe remplies (arrêts du Tribunal fédéral 2C_203/2020 du 8 mai 2020 consid. 4.3 ; 2C_715/2011 du 2 mai 2012 consid. 4.2 ; ATA/1115/2023 précité consid. 2.3).</w:t>
      </w:r>
    </w:p>
    <w:p>
      <w:r>
        <w:t>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(ATA/1114/2023 du 10 octobre 2023 consid. 2.7 et les références citées).</w:t>
      </w:r>
    </w:p>
    <w:p>
      <w:r>
        <w:t>3.3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w:t>
      </w:r>
    </w:p>
    <w:p>
      <w:r>
        <w:t>- 7/10 - A/3285/2022 la décision initiale (arrêts du Tribunal fédéral 2C_319/2015 du 10 septembre 2015 consid. 3 ; 2C_406/2013 du 23 septembre 2013 consid. 4.1).</w:t>
      </w:r>
    </w:p>
    <w:p>
      <w:r>
        <w:t>3.4 En l’espèce, l’autorité intimée n’est pas entrée en matière sur la demande de reconsidération de sa décision du 6 octobre 2020, ce qu’a confirmé le TAPI, de sorte que seule sera examinée la violation alléguée de l’art. 48 LPA, à l’exclusion de l’application des art. 30 al. 1 let. b de la loi fédérale sur les étrangers et l’intégration du 16 décembre 2005 (LEI - RS 142.20) et 31 de l’ordonnance relative à l’admission, au séjour et à l’exercice d’une activité lucrative du 24 octobre 2007 (OASA - RS 142.201).</w:t>
      </w:r>
    </w:p>
    <w:p>
      <w:r>
        <w:t>Le recourant n’invoque aucun « fait nouveau ancien », si bien que seule l’application de l’art. 48 al. 1 let. b LPA est envisageable.</w:t>
      </w:r>
    </w:p>
    <w:p>
      <w:r>
        <w:t>Comme relevé par le TAPI, les éléments mis en avant par le recourant, à savoir son efficacité dans son emploi, la présence de sa fille B______ à Genève, l’établissement de sa paternité sur sa fille C______, une frustration en cas de retour dans son pays d’origine ainsi que son intégration à Genève sont liés au simple écoulement du temps et à l’évolution normale de son intégration en Suisse, ainsi qu’au non-respect de la décision de renvoi entrée en force, si bien que, conformément à la jurisprudence précitée, ils ne peuvent être qualifiés d’éléments notables au sens de l’art. 48 al. 1 let. b LPA.</w:t>
      </w:r>
    </w:p>
    <w:p>
      <w:r>
        <w:t>En particulier, le recourant ne peut rien tirer de l’établissement de sa paternité sur l’enfant C______, intervenu à la suite de la reconnaissance effectuée le 20 juin 2023, du point de vue de l’art. 8 CEDH et de l’ALCP, étant donné qu’il ne dispose d’aucun droit de garde sur sa fille, comme il l’a indiqué, et qu’il n’allègue pas l’existence d’un lien économique et affectif particulièrement fort avec celle-ci (ATF 144 I 91 consid. 5.2 ; 144 II 113 consid. 4.1 ; arrêt du Tribunal fédéral 2C_365/2023 du 13 décembre 2023 consid. 4.3).</w:t>
      </w:r>
    </w:p>
    <w:p>
      <w:r>
        <w:t>C’est dès lors à juste titre que l’autorité intimée, puis le TAPI, ont retenu que les conditions d’entrée en matière sur la demande de reconsidération n’étaient pas réalisées, étant précisé que, selon la jurisprudence, le réexamen de décisions administratives ne saurait servir à remettre sans cesse en cause des décisions définitives et exécutoires. Le prononcé du renvoi du recourant, que ce dernier ne conteste pas, est également fondé.</w:t>
      </w:r>
    </w:p>
    <w:p>
      <w:r>
        <w:t>Il en va de même du renvoi de sa fille B______. Dans ce cadre, les recourants ne sauraient prétendre que les conditions d’un cas de rigueur au sens des art. 30 al. 1 let. b LEI et 31 OASA seraient remplies, dès lors qu’elle ne peut pas se prévaloir d’une longue durée de séjour en Suisse, puisqu’elle est arrivée à Genève après le prononcé de la décision du 6 octobre 2020 et que, bien que scolarisée au cycle d’orientation, rien n’indique que son intégration serait à ce point importante qu’un retour dans son pays d’origine ne serait plus envisageable. L’autorité intimée pouvait ainsi prononcer son renvoi, rien n’indiquant qu’il ne serait pas possible, illicite ou ne pourrait pas être raisonnablement exigé.</w:t>
      </w:r>
    </w:p>
    <w:p>
      <w:r>
        <w:t>- 8/10 - A/3285/2022</w:t>
      </w:r>
    </w:p>
    <w:p>
      <w:r>
        <w:t>Entièrement mal fondé, le recours sera par conséquent rejeté. 4.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