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ATA/98/2019 vom 29. Januar 2019</w:t>
      </w:r>
    </w:p>
    <w:p>
      <w:r>
        <w:t>GE Cour de justice, 2019-01-29, FR</w:t>
      </w:r>
    </w:p>
    <w:p>
      <w:r>
        <w:rPr>
          <w:b/>
        </w:rPr>
        <w:t xml:space="preserve">Quelle: </w:t>
      </w:r>
      <w:r>
        <w:t>https://mcp.opencaselaw.ch/entscheid/ge_gerichte_ATA_98_2019</w:t>
      </w:r>
    </w:p>
    <w:p>
      <w:r>
        <w:t>FR: GE_GERICHTE ATA/98/2019 du 29 janvier 2019</w:t>
      </w:r>
    </w:p>
    <w:p>
      <w:r>
        <w:t>IT: GE_GERICHTE ATA/98/2019 del 29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uniquement sur des amendes fiscales relatives à l'ICC 2005 à 2009 de la contribuable.</w:t>
      </w:r>
    </w:p>
    <w:p>
      <w:r>
        <w:rPr>
          <w:b/>
        </w:rPr>
        <w:t>E. 3</w:t>
      </w:r>
    </w:p>
    <w:p>
      <w:r>
        <w:t>Toutefois, le jugement attaqué étant une décision d'irrecevabilité, seule celle-ci peut être contestée devant l'instance de recours, qui n'a, à ce stade, pas à examiner le fond de la contestation (arrêt du Tribunal fédéral 2C_103/2017 du 13 février 2017 consid. 3 et les arrêts cités). Dès lors, dans la mesure où elles portent sur le fond du litige, les conclusions principales de la recourante sont irrecevables, seules ses conclusions subsidiaires en renvoi de la cause à l'instance précédente étant admissibles.</w:t>
      </w:r>
    </w:p>
    <w:p>
      <w:r>
        <w:rPr>
          <w:b/>
        </w:rPr>
        <w:t>E. 4</w:t>
      </w:r>
    </w:p>
    <w:p>
      <w:r>
        <w:t>Le contentieux fiscal en matière d’ICC est soumis aux dispositions de la loi de procédure fiscale du 4 octobre 2001 (LPFisc - D 3 17) ainsi qu’à celles de la LPA si les dispositions de la LPFisc n’y dérogent pas (art. 2 al. 2 LPFisc).</w:t>
      </w:r>
    </w:p>
    <w:p>
      <w:r>
        <w:t>- 8/12 - A/959/2017</w:t>
      </w:r>
    </w:p>
    <w:p>
      <w:r>
        <w:rPr>
          <w:b/>
        </w:rPr>
        <w:t>E. 5</w:t>
      </w:r>
    </w:p>
    <w:p>
      <w:r>
        <w:t>Selon l’art. 49 al. 1 LPFisc, en matière d’ICC le contribuable peut s'opposer à la décision sur réclamation du département en s'adressant, dans les trente jours à compter de la notification de la décision attaquée, au Tribunal administratif de première instance. La LPFisc ne prévoit pas de suspension des délais (art. 63 al. 2 let. e LPA).</w:t>
      </w:r>
    </w:p>
    <w:p>
      <w:r>
        <w:rPr>
          <w:b/>
        </w:rPr>
        <w:t>E. 6</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Selon l’art. 46 al. 2 LPA, les décisions sont notifiées aux parties, le cas échéant à leur domicile élu auprès de leur mandataire, par écrit. Une notification irrégulière ne peut entraîner aucun préjudice pour les parties (art. 47 LPA).</w:t>
      </w:r>
    </w:p>
    <w:p>
      <w:r>
        <w:t>L’art 19 LPFisc, qui traite de la notification des décisions en matière d’ICC, ne déroge pas à ce principe s’agissant de leur notification à un contribuable domicilié dans le canton de Genève.</w:t>
      </w:r>
    </w:p>
    <w:p>
      <w:r>
        <w:rPr>
          <w:b/>
        </w:rPr>
        <w:t>E. 8</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w:t>
      </w:r>
    </w:p>
    <w:p>
      <w:r>
        <w:t>- 9/12 - A/959/2017 citées). Un envoi est réputé notifié à la date à laquelle son destinataire le reçoit effectivement (ATA/378/2014 précité consid. 3b).</w:t>
      </w:r>
    </w:p>
    <w:p>
      <w:r>
        <w:rPr>
          <w:b/>
        </w:rPr>
        <w:t>E. 9</w:t>
      </w:r>
    </w:p>
    <w:p>
      <w:r>
        <w:t>a. La réception de la décision par le mandataire d'un administré, à son domicile élu, est opposable à cet administré (arrêt du Tribunal fédéral 2D_11/2018 du</w:t>
      </w:r>
    </w:p>
    <w:p>
      <w:r>
        <w:rPr>
          <w:b/>
        </w:rPr>
        <w:t>E. 12</w:t>
      </w:r>
    </w:p>
    <w:p>
      <w:r>
        <w:t>a. L'art. 50 de la loi du 14 décembre 1990 sur l'harmonisation des impôts directs des cantons et des communes (LHID; RS 642.14) ne règle pas expressément le mode de calcul des délais de recours ni leur restitution. b. En droit cantonal, l’art. 16 al. 1 LPA prescrit que les délais légaux ne peuvent être prolongés. Sont cependant réservés les cas de force majeure.</w:t>
      </w:r>
    </w:p>
    <w:p>
      <w:r>
        <w:t>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w:t>
      </w:r>
    </w:p>
    <w:p>
      <w:r>
        <w:t>- 11/12 - A/959/2017 subjective. L’empêchement doit être de nature telle que le respect des délais aurait impliqué la prise de dispositions que l’on ne peut raisonnablement attendre de la part d’une personne avisée (ATA/1595/2017 précité consid. 3 et les références citées).</w:t>
      </w:r>
    </w:p>
    <w:p>
      <w:r>
        <w:rPr>
          <w:b/>
        </w:rPr>
        <w:t>E. 13</w:t>
      </w:r>
    </w:p>
    <w:p>
      <w:r>
        <w:t>Dans le cadre de la présente instance, la recourante ne prétend plus à une restitution du délai. Force est effectivement de constater que l'absence de réception, par la recourante, du courriel de B______ lui communiquant la décision sur réclamation ne constitue pas un cas de froce majeure permettant de restituer le délai légal.</w:t>
      </w:r>
    </w:p>
    <w:p>
      <w:r>
        <w:rPr>
          <w:b/>
        </w:rPr>
        <w:t>E. 14</w:t>
      </w:r>
    </w:p>
    <w:p>
      <w:r>
        <w:t>Mal fondé, le recours sera rejeté dans la mesure où il est recevable.</w:t>
      </w:r>
    </w:p>
    <w:p>
      <w:r>
        <w:t>Vu l'issue du litige, un émolument de CHF 700.-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