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ATA/989/2004 vom 2. Dezember 2003</w:t>
      </w:r>
    </w:p>
    <w:p>
      <w:r>
        <w:t>GE Cour de justice, 2003-12-02, FR</w:t>
      </w:r>
    </w:p>
    <w:p>
      <w:r>
        <w:rPr>
          <w:b/>
        </w:rPr>
        <w:t xml:space="preserve">Quelle: </w:t>
      </w:r>
      <w:r>
        <w:t>https://mcp.opencaselaw.ch/entscheid/ge_gerichte_ATA_989_2004</w:t>
      </w:r>
    </w:p>
    <w:p>
      <w:r>
        <w:t>FR: GE_GERICHTE ATA/989/2004 du 2 décembre 2003</w:t>
      </w:r>
    </w:p>
    <w:p>
      <w:r>
        <w:t>IT: GE_GERICHTE ATA/989/2004 del 2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 vu de l’arrêt rendu par le Tribunal fédéral, le Tribunal administratif ne peut que constater que c’était à tort qu’il avait rejeté le recours formé par Mme W______. La décision du 29 juin 2001 a été prise par une autorité statuant dans une composition irrégulière, dont l’un des membres était prévenu. Sa nullité doit être constatée.</w:t>
      </w:r>
    </w:p>
    <w:p>
      <w:r>
        <w:t>En conséquence, le dossier sera retourné au DIP, afin qu’une nouvelle décision concernant l’échec ou la réussite de la formation de Mme W______ soit rendue.</w:t>
      </w:r>
    </w:p>
    <w:p>
      <w:r>
        <w:rPr>
          <w:b/>
        </w:rPr>
        <w:t>E. 2</w:t>
      </w:r>
    </w:p>
    <w:p>
      <w:r>
        <w:t>S’agissant de la conclusion de la recourante visant à ce que le Tribunal administratif ordonne la délivrance du certificat d’aptitude à l’enseignement secondaire, elle sera écartée. Il appartient en effet à l’autorité de première instance de mettre en œuvre une commission d’évaluation répondant aux exigences léga- les, qui rendra une nouvelle décision sujette à recours.</w:t>
      </w:r>
    </w:p>
    <w:p>
      <w:r>
        <w:t>Au vu de cette issue, une indemnité de procédure – pour la procédure cantonale – en CHF 1'000.- sera allouée à Mme W______, à la charge de l’Etat. Aucun émolument ne sera perçu pour la présente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