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ATA/986/2015 vom 22. September 2015</w:t>
      </w:r>
    </w:p>
    <w:p>
      <w:r>
        <w:t>GE Cour de justice, 2015-09-22, FR</w:t>
      </w:r>
    </w:p>
    <w:p>
      <w:r>
        <w:rPr>
          <w:b/>
        </w:rPr>
        <w:t xml:space="preserve">Quelle: </w:t>
      </w:r>
      <w:r>
        <w:t>https://mcp.opencaselaw.ch/entscheid/ge_gerichte_ATA_986_2015</w:t>
      </w:r>
    </w:p>
    <w:p>
      <w:r>
        <w:t>FR: GE_GERICHTE ATA/986/2015 du 22 septembre 2015</w:t>
      </w:r>
    </w:p>
    <w:p>
      <w:r>
        <w:t>IT: GE_GERICHTE ATA/986/2015 del 22 settembre 2015</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LPA).</w:t>
      </w:r>
    </w:p>
    <w:p>
      <w:r>
        <w:t>Les juridictions administratives disposent d'une grande liberté d’organiser la mise en pratique de cette disposition (ATA/836/2014 précité consid. 5b ; ATA/378/2014 précité consid. 2 ; ATA/280/2012 du 8 mai 2012 consid. 2 ; ATA/594/2009 du 17 novembre 2009 consid. 4).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w:t>
      </w:r>
    </w:p>
    <w:p>
      <w:r>
        <w:t>La preuve de la notification d’un acte et de la date de celle-ci incombe en principe à l’autorité qui entend en tirer une conséquence juridique. L’autorité qui</w:t>
      </w:r>
    </w:p>
    <w:p>
      <w:r>
        <w:t>- 4/7 - A/1491/2015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4)</w:t>
      </w:r>
    </w:p>
    <w:p>
      <w:r>
        <w:t>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Ainsi,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 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6) 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w:t>
      </w:r>
    </w:p>
    <w:p>
      <w:r>
        <w:t>- 5/7 - A/1491/2015 pertinente (arrêts du Tribunal fédéral 2C_703/2009 du 21 septembre 2010 consid. 4.4.2 ; 2C_645/2008 précité consid. 2.2 ; 2C_450/2008 du 1er juillet 2008 consid. 2.3.4).</w:t>
      </w:r>
    </w:p>
    <w:p>
      <w:r>
        <w:t>b.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 convient d’appliquer par analogie la notion de cas de force majeure de l’art. 16 al. 1 LPA afin d’examiner si l’intéressé a été empêché sans sa faute de verser l’avance de frais dans le délai fixé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(ATA/378/2014 précité consid. 3d ; ATA/515/2009 du</w:t>
      </w:r>
    </w:p>
    <w:p>
      <w:r>
        <w:rPr>
          <w:b/>
        </w:rPr>
        <w:t>E. 13</w:t>
      </w:r>
    </w:p>
    <w:p>
      <w:r>
        <w:t>octobre 2009 consid. 4b ; ATA/40/1998 du 27 janvier 1998 consid. 3a).</w:t>
      </w:r>
    </w:p>
    <w:p>
      <w:r>
        <w:t>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7)</w:t>
      </w:r>
    </w:p>
    <w:p>
      <w:r>
        <w:t>En l’occurrence, il est établi que le pli recommandé du TAPI contenant la requête d’avance de frais n’a pu être distribué au recourant à son domicile, un avis de retrait ayant été déposé dans sa boîte aux lettres. Certes, ledit courrier ne comportait pas le deuxième prénom du recourant qui était dès lors susceptible d’être confondu avec son fils. Un tel moyen tiré d’une confusion de destinataire en raison de l’imprécision de l’adressage serait recevable si le pli du TAPI avait été distribué à un autre destinataire. Tel n’est pas le cas en l’espèce puisqu’il a été</w:t>
      </w:r>
    </w:p>
    <w:p>
      <w:r>
        <w:t>- 6/7 - A/1491/2015 retourné « non-retiré », que ce soit par le recourant ou par son fils. Dans ces circonstances, il doit être imputé au recourant d’avoir laissé courir le délai de retrait sans retirer son envoi, ce d’autant plus qu’il n’allègue aucun autre motif d’empêchement.</w:t>
      </w:r>
    </w:p>
    <w:p>
      <w:r>
        <w:t>Le pli recommandé du 11 mai 2015 du TAPI est donc censé lui être parvenu le 19 mai 2015. Dès lors, le délai pour s’acquitter de l’avance de frais a valablement couru. Le recourant n’ayant pas payé le montant demandé dans le délai imparti, le TAPI était en droit de déclarer son recours irrecevable. 8)</w:t>
      </w:r>
    </w:p>
    <w:p>
      <w:r>
        <w:t>Aucune circonstance équivalente à un cas de force majeure n’ayant été alléguée par le recourant, son recours sera rejeté, étant manifestement mal fondé (art. 72 LPA). 9)</w:t>
      </w:r>
    </w:p>
    <w:p>
      <w:r>
        <w:t>Vu cette issue, un émolument de CHF 500.- sera mis à la charge du recourant qui succombe (art. 87 al. 1 LPA). Il n’y a pas lieu d’allouer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