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ATA/981/2022 vom 30. September 2022</w:t>
      </w:r>
    </w:p>
    <w:p>
      <w:r>
        <w:t>GE Cour de justice, 2022-09-30, FR</w:t>
      </w:r>
    </w:p>
    <w:p>
      <w:r>
        <w:rPr>
          <w:b/>
        </w:rPr>
        <w:t xml:space="preserve">Quelle: </w:t>
      </w:r>
      <w:r>
        <w:t>https://mcp.opencaselaw.ch/entscheid/ge_gerichte_ATA_981_2022</w:t>
      </w:r>
    </w:p>
    <w:p>
      <w:r>
        <w:t>FR: GE_GERICHTE ATA/981/2022 du 30 septembre 2022</w:t>
      </w:r>
    </w:p>
    <w:p>
      <w:r>
        <w:t>IT: GE_GERICHTE ATA/981/2022 del 30 settembre 2022</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23 septembre 2022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w:t>
      </w:r>
    </w:p>
    <w:p>
      <w:r>
        <w:t>Le recourant invoque que les conditions d'une mise en détention administrative ne sont pas réunies.</w:t>
      </w:r>
    </w:p>
    <w:p>
      <w:r>
        <w:t>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w:t>
      </w:r>
    </w:p>
    <w:p>
      <w:r>
        <w:t>b. À teneur de l'art. 76 al. 1 let. b ch. 1 LEI (cum art. 75 al. 1 let. c, g et h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elle menace sérieusement d’autres personnes ou met gravement en danger leur vie ou leur intégrité corporelle et fait l’objet d’une poursuite pénale ou a été condamnée pour ce motif ou si elle a été condamnée pour crime. Il découle de la jurisprudence qu'une décision d'expulsion pénale au sens des art. 66a ou 66abis CP vaut comme interdiction d'entrée pour la durée prononcée par le juge pénal (ATA/816/2022 du 18 août 2022 consid. 3b ; ATA/730/2021 du 8 juillet 2021 consid. 4). 4) a. Selon l'art. 75 al. 1 LEI, intitulé « détention en phase préparatoire », afin d’assurer l’exécution d’une procédure de renvoi ou d’expulsion ou d’une</w:t>
      </w:r>
    </w:p>
    <w:p>
      <w:r>
        <w:t>- 6/10 - A/3066/2022 procédure pénale pouvant entraîner une expulsion obligatoire au sens des art. 66a ou 66abis CP ou 49a ou 49abis du Code pénal militaire du 13 juin 1927 (CPM - RS 321.0), l’autorité cantonale compétente peut ordonner la détention pendant la préparation de la décision sur le séjour, pour une durée de six mois au plus, d’une personne qui n’est pas titulaire d’une autorisation de courte durée, de séjour ou d’établissement, pour l’une des raisons suivantes, notamment : b. elle quitte la région qui lui est assignée ou pénètre dans une zone qui lui est interdite en vertu de l’art. 74 LEI ; c. elle franchit la frontière malgré une interdiction d’entrer en Suisse et ne peut pas être renvoyée immédiatement ; g. elle menace sérieusement d’autres personnes ou met gravement en danger leur vie ou leur intégrité corporelle et fait l’objet d’une poursuite pénale ou a été condamnée pour ce motif ; et h. elle a été condamnée pour crime.</w:t>
      </w:r>
    </w:p>
    <w:p>
      <w:r>
        <w:t>b. L’autorité compétente prend sans délai une décision quant au droit de séjour de la personne mise en détention (art. 75 al. 2 LEI). 5) a. En l'espèce, le recourant ne fait pas l'objet d'une décision de renvoi ou d'expulsion en force, si bien que l'art. 76 LEI est inapplicable. Comme l'a relevé à juste titre le TAPI, les let. b et c de l'art. 75 al. 1 LEI ne lui sont pas non plus applicables, l'interdiction de pénétrer dans le canton de Genève prise à son encontre ayant expiré, et aucune interdiction d'entrée le concernant n'étant en force. La let. h n'est pas non plus applicable, dès lors qu'il ne résulte pas du dossier – et l'intimé ne le prétend pas non plus – que le recourant ait déjà été condamné pour un crime au sens de l'art. 10 al. 2 CP. La seule hypothèse possible – et retenue par le TAPI – est ainsi l'art. 75 al. 1 let. g LEI. Il convient dès lors d'examiner si cette hypothèse est remplie en l'espèce.</w:t>
      </w:r>
    </w:p>
    <w:p>
      <w:r>
        <w:t>b. Selon le Tribunal fédéral, le motif de détention de l'art. 75 al. 1 let. g LEI vise en premier lieu à garantir l'exécution d'une éventuelle mesure d'éloignement mettant fin au séjour, mais comprend également un élément sécuritaire (arrêt du Tribunal fédéral 2C_65/2020 du 18 février 2020 consid. 2.2). L'objectif du motif de détention est d'assurer l'exécution de la mesure mettant fin au séjour (art. 5, ch. 1, let. f CEDH) ; à titre secondaire toutefois, d'autres délits peuvent être évités pendant la durée de la procédure (arrêt du Tribunal fédéral 2C_304/2012 du 1er mai 2012 consid. 2.2.1 ; FF 1994 I 322 s.).</w:t>
      </w:r>
    </w:p>
    <w:p>
      <w:r>
        <w:t>Le motif de détention que sont les menaces et la mise en danger de la vie ou de l'intégrité corporelle ne sert pas en premier lieu à des fins de sûreté dans le cadre de la procédure pénale ; la détention pour des motifs de sûreté est disponible à cet effet, pour autant que ses conditions soient remplies. La détention ordonnée sur la base de l'art. 75 al. 1 let. g LEI doit au contraire servir en priorité à garantir l'exécution du renvoi ou de l'expulsion, faute de quoi elle est contraire aux exigences de l'art. 5 ch. 1 let. f CEDH (exigence de « finalité » ; arrêt du Tribunal fédéral 2C_65/2020 précité consid. 2.3 et les références citées).</w:t>
      </w:r>
    </w:p>
    <w:p>
      <w:r>
        <w:t>- 7/10 - A/3066/2022</w:t>
      </w:r>
    </w:p>
    <w:p>
      <w:r>
        <w:t>Sont notamment considérés comme une « mise en danger considérable de la vie ou de l'intégrité corporelle » au sens de la let. g les actes punissables contre la vie et l'intégrité corporelle (art. 111 ss CP), contre la liberté (art. 180 ss CP) et – au moins partiellement – contre l'intégrité sexuelle (art. 189 ss CP). Le critère de « gravité » suppose qu'il y ait plus qu'un simple soupçon d'infraction ; la personne concernée doit être poursuivie pénalement ou avoir été condamnée (arrêt du Tribunal fédéral 2C_65/2020 précité consid. 2.4). L'importance de la mise en danger de la vie et de l'intégrité corporelle doit être examinée au cas par cas, même si le législateur part du principe que les personnes ayant commis des délits ont tendance à s'opposer aux décisions des autorités. Les délits mineurs ne suffisent pas pour appliquer le motif de détention de l'art. 75 al. 1 let. g LEI. Celui-ci tombe en outre si, dans le cadre d'un pronostic conforme aux obligations, des indices clairs permettent de conclure à un futur bon comportement (pas de risque de récidive ; arrêts du Tribunal fédéral 2C_304/2012 précité consid. 2.2.1 et 2A.480/2003 du 26 août 2004 consid. 4). Le risque prévisible de récidive et les actes futurs correspondants doivent permettre de conclure que la personne concernée ne coopérera pas lors de l'exécution du renvoi ou de l'expulsion pénale ou qu'elle se soustraira à la procédure correspondante.</w:t>
      </w:r>
    </w:p>
    <w:p>
      <w:r>
        <w:t>c. En outre,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(arrêt du Tribunal fédéral 2C_293/2012 du 18 avril 2012 consid. 4.3).</w:t>
      </w:r>
    </w:p>
    <w:p>
      <w:r>
        <w:t>En effet, la détention en phase préparatoire n'est pas d'emblée exclue en présence de petits trafiquants, s'ils présentent un risque de récidive (arrêt du tribunal fédéral 2A.480/2003 précité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(arrêt du Tribunal fédéral 2C_293/2012 précité consid. 4.3 et les arrêts cités). En revanche, celui qui n'a agi que de manière isolée avec une petite quantité de stupéfiants ne représente pas encore un danger grave pour la vie ou l'intégrité corporelle d'autres personnes (ibid. ; arrêts du Tribunal fédéral 2A.480/2003 précité consid. 3.1 in fine ; 2A.35/2000 du 10 février 2000 consid. 2b/bb ; 2A.450/1995 du 3 novembre 1995 consid. 3b).</w:t>
      </w:r>
    </w:p>
    <w:p>
      <w:r>
        <w:t>- 8/10 - A/3066/2022 6)</w:t>
      </w:r>
    </w:p>
    <w:p>
      <w:r>
        <w:t>En l'espèce, le recourant a été condamné plusieurs fois pour consommation de stupéfiants, ce qui ne saurait entraîner l'application du cas de détention considéré. Il a été condamné pour trafic à une reprise, en 2020, pour un trafic de cocaïne à raison d'une à deux boulettes par semaine pendant quatre semaines.</w:t>
      </w:r>
    </w:p>
    <w:p>
      <w:r>
        <w:t>Lors de son interpellation du 19 septembre 2022, il a certes été remis en liberté après avoir été interrogé par le Ministère public. La procédure est toujours en cours, et aucune ordonnance de classement ou de non-entrée en matière n'a été rendue. Par ailleurs, de l'argent suisse a été trouvé sur le recourant, et deux personnes l'ont mis en cause, l'un pour la vente d'une boulette de cocaïne, l'autre pour lui avoir proposé du crack, ces deux substances étant des drogues dures.</w:t>
      </w:r>
    </w:p>
    <w:p>
      <w:r>
        <w:t>Dans ces circonstances, on doit retenir l'existence d'un risque de poursuite du trafic de stupéfiants, si bien que la mise en détention administrative pouvait se fonder sur l'art. 75 al. 1 let. g LEI. 7)</w:t>
      </w:r>
    </w:p>
    <w:p>
      <w:r>
        <w:t>Reste à examiner si la détention ordonnée respecte le principe de la proportionnalité, ce que le recourant conteste subsidiairement, en même temps que l'opportunité de la mesure dans son cas.</w:t>
      </w:r>
    </w:p>
    <w:p>
      <w:r>
        <w:t>a. 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b.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8)</w:t>
      </w:r>
    </w:p>
    <w:p>
      <w:r>
        <w:t>En l'espèce, comme déjà mentionné, le recourant ne fait en l'état l'objet d'aucune décision de renvoi ou d'expulsion, ni d'une interdiction d'entrée ou d'une interdiction de pénétrer dans le canton de Genève. Il n'a aucune attache avec le canton de Genève, où il ne s'est rendu que sporadiquement ces dernières années. Il possède un titre de séjour en Italie, où il réside habituellement et où il s'est à plusieurs reprises dit prêt à retourner.</w:t>
      </w:r>
    </w:p>
    <w:p>
      <w:r>
        <w:t>D'un autre côté, selon l'intimé, une réponse des autorités italiennes quant à la possibilité d'un renvoi en Italie peut prendre jusqu'à six mois.</w:t>
      </w:r>
    </w:p>
    <w:p>
      <w:r>
        <w:t>- 9/10 - A/3066/2022</w:t>
      </w:r>
    </w:p>
    <w:p>
      <w:r>
        <w:t>Dès lors, dans les conditions particulières du cas d'espèce, il n'apparaît pas proportionné, et le cas échéant pas opportun, de maintenir le recourant en détention pour une durée aussi longue que trois mois. Il y a dès lors lieu de confirmer l'ordre de mise en détention pour une durée d'un mois. Si, à l'expiration de ce délai, l'intimé est sans nouvelles des autorités italiennes, il devra être mis fin à la détention du recourant.</w:t>
      </w:r>
    </w:p>
    <w:p>
      <w:r>
        <w:t>Le recours sera dès lors admis partiellement, le jugement du TAPI confirmant l'ordre de mise en détention annulé en tant qu'il confirme l'ordre de mise en détention de trois mois, et la durée de la mise en détention fixée à un mois. 9)</w:t>
      </w:r>
    </w:p>
    <w:p>
      <w:r>
        <w:t>Vu la nature et l'issue du litige, aucun émolument ne sera perçu (art. 87 al. 1 LPA cum art. 12 al. 1 du règlement sur les frais, émoluments et indemnités en procédure administrative du 30 juillet 1986 - RFPA - E 5 10.03), et une indemnité de procédure de CHF 750.-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