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ATA/981/2019 vom 4. Juni 2019</w:t>
      </w:r>
    </w:p>
    <w:p>
      <w:r>
        <w:t>GE Cour de justice, 2019-06-04, FR</w:t>
      </w:r>
    </w:p>
    <w:p>
      <w:r>
        <w:rPr>
          <w:b/>
        </w:rPr>
        <w:t xml:space="preserve">Quelle: </w:t>
      </w:r>
      <w:r>
        <w:t>https://mcp.opencaselaw.ch/entscheid/ge_gerichte_ATA_981_2019</w:t>
      </w:r>
    </w:p>
    <w:p>
      <w:r>
        <w:t>FR: GE_GERICHTE ATA/981/2019 du 4 juin 2019</w:t>
      </w:r>
    </w:p>
    <w:p>
      <w:r>
        <w:t>IT: GE_GERICHTE ATA/981/2019 del 4 giugno 2019</w:t>
      </w:r>
    </w:p>
    <w:p>
      <w:pPr>
        <w:pStyle w:val="Heading2"/>
      </w:pPr>
      <w:r>
        <w:t>Erwägungen</w:t>
      </w:r>
    </w:p>
    <w:p>
      <w:r>
        <w:rPr>
          <w:b/>
        </w:rPr>
        <w:t>E. 12</w:t>
      </w:r>
    </w:p>
    <w:p>
      <w:r>
        <w:t>septembre 2017 consid. 10).</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w:t>
      </w:r>
    </w:p>
    <w:p>
      <w:r>
        <w:t>- 14/18 - A/3051/2017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rendu dans la même affaire, consid. 3.4 ; ATA/171/2016 du 23 février 2016 consid. 9a).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(arrêt du Tribunal administratif fédéral C-636/2010 précité consid. 5.4 et les références citées).</w:t>
      </w:r>
    </w:p>
    <w:p>
      <w:r>
        <w:t>e. 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(travail régulier, absence de condamnations et de dépendance à l’aide sociale) ne suffisent pas à rendre la poursuite du séjour imposable au sens de l’art. 50 al. 1 let. b LEI (ATA/775/2018 précité consid. 4d et les références citées). 7)</w:t>
      </w:r>
    </w:p>
    <w:p>
      <w:r>
        <w:t>En l’espèce, seules sont susceptibles d’entrer en ligne de compte d’éventuelles raisons personnelles majeures liées à la réintégration de la recourante dans son pays d’origine.</w:t>
      </w:r>
    </w:p>
    <w:p>
      <w:r>
        <w:t>La recourante n'a pas de travail stable depuis plusieurs années et son intégration professionnelle ne remplit pas les exigences strictes de la jurisprudence. D’une part, son ascension professionnelle ne peut être qualifiée de</w:t>
      </w:r>
    </w:p>
    <w:p>
      <w:r>
        <w:t>- 15/18 - A/3051/2017 remarquable, les différents travaux effectués et ses activités de bénévolat n’atteignant pas un niveau de qualification exceptionnelle. D’autre part, ses compétences professionnelles ne sont pas si spécifiques qu’elle ne pourrait pas les utiliser dans son pays, bien au contraire. S’agissant de sa situation financière, il ressort du dossier qu’elle est connue de l’office des poursuites pour de nombreuses poursuites et actes de défaut de bien pour des montants importants. Elle a également bénéficié de prestations de l'hospice pendant plusieurs années et pour un montant total de plus de CHF 60'000.-.</w:t>
      </w:r>
    </w:p>
    <w:p>
      <w:r>
        <w:t>La recourante est en Suisse depuis 2006. La durée de ce séjour doit toutefois être relativisée puisque, de 2006 à novembre 2008, elle y a séjourné dans l’illégalité. La recourante a passé toute son enfance et une bonne partie de son adolescence dans son pays. Or, on ne saurait admettre que ces années ont été moins déterminantes pour la formation de sa personnalité et, partant, pour son intégration socioculturelle que son séjour en Suisse. Il ne saurait l’avoir rendue totalement étrangère à sa patrie, où elle a grandi et vécu jusqu’à l’âge de seize ans. Son intégration ne présente pas de particularité et les relations établies en Suisse ne sont pas d’une intensité telle que cela compromettait son retour en Côte d'Ivoire, pays dans lequel elle a des attaches familiales. Plusieurs membres importants de sa famille vivent encore en Côte d'Ivoire, notamment son père et son frère, et le retour de la recourante dans son pays d’origine ne devrait pas lui poser de problèmes majeurs, dans la mesure où elle y a vécu jusqu’à l’âge de 16 ans et qu’elle en connaît bien les us et coutumes. Elle n’allègue en outre pas avoir des problèmes de santé.</w:t>
      </w:r>
    </w:p>
    <w:p>
      <w:r>
        <w:t>Enfin, la recourante se prévaut de la présence de son fils, né en Suisse. Ce dernier, outre le fait qu'il dispose vraisemblablement de la nationalité française vu la reconnaissance par son père, est en bas âge et n'est donc pas encore intégré socialement en Suisse. Ces circonstances ne sont pas de nature à faire admettre qu’un retour en Côte d'Ivoire constituerait pour A______ un déracinement important et présenterait ainsi une rigueur excessive au sens de la jurisprudence précitée. Par ailleurs, la relation père/enfant, telle que décrite par la recourante, n’apparaît pas d’une grande intensité, dans la mesure où le père n’était pas prêt à accueillir l’enfant chez lui. En outre, il n’est pas allégué que la recourante ne pourrait pas se rendre, avec son fils, en France pour rendre visite au père de l’enfant, ni que celui-ci ne pourrait se rendre en Côte d’Ivoire pour voir son fils.</w:t>
      </w:r>
    </w:p>
    <w:p>
      <w:r>
        <w:t>Au vu de ce qui précède, la recourante ne peut se prévaloir d’un droit au renouvellement de son autorisation de séjour en application de l’art. 50 al. 1 let. b LEI, les conditions qui permettraient de retenir des raisons personnelles majeures n’étant pas remplies. Le jugement du TAPI est conforme au droit sous cet angle également. 8) a. Selon l’art. 64 al. 1 let. c LEI, les autorités compétentes rendent une décision de renvoi ordinaire à l’encontre d’un étranger auquel l’autorisation de</w:t>
      </w:r>
    </w:p>
    <w:p>
      <w:r>
        <w:t>- 16/18 - A/3051/2017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au pays d'origine après des années d’absence, de circonstance empêchant l'exécution du renvoi de l’intéressée et de son fils en Côte d'Ivoire.</w:t>
      </w:r>
    </w:p>
    <w:p>
      <w:r>
        <w:t>Au vu de ce qui précède, le recours sera rejeté. 9)</w:t>
      </w:r>
    </w:p>
    <w:p>
      <w:r>
        <w:t>Vu l’issue du litige, un émolument de CHF 400.-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