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ATA/979/2023 vom 11. September 2023</w:t>
      </w:r>
    </w:p>
    <w:p>
      <w:r>
        <w:t>GE Cour de justice, 2023-09-11, FR</w:t>
      </w:r>
    </w:p>
    <w:p>
      <w:r>
        <w:rPr>
          <w:b/>
        </w:rPr>
        <w:t xml:space="preserve">Quelle: </w:t>
      </w:r>
      <w:r>
        <w:t>https://mcp.opencaselaw.ch/entscheid/ge_gerichte_ATA_979_2023</w:t>
      </w:r>
    </w:p>
    <w:p>
      <w:r>
        <w:t>FR: GE_GERICHTE ATA/979/2023 du 11 septembre 2023</w:t>
      </w:r>
    </w:p>
    <w:p>
      <w:r>
        <w:t>IT: GE_GERICHTE ATA/979/2023 del 11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t>- 6/13 - A/1225/2023</w:t>
      </w:r>
    </w:p>
    <w:p>
      <w:r>
        <w:rPr>
          <w:b/>
        </w:rPr>
        <w:t>E. 05</w:t>
      </w:r>
    </w:p>
    <w:p>
      <w:r>
        <w:t>; art. 62 al. 1 let. a et 63 al. 1 let. a de la loi sur la procédure administrative du 12 septembre 1985 - LPA - E 5 10). 2. Le 25 septembre 2020, l’Assemblée fédérale a adopté la loi fédérale sur les bases légales des ordonnances du Conseil fédéral visant à surmonter l’épidémie de Covid-19 (loi Covid-19 - RS 818.102). À son art. 12, celle-ci prévoit que la Confédération peut, à la demande d’un ou de plusieurs cantons, soutenir les mesures de ces cantons pour les cas de rigueur destinées aux entreprises. Le 25 novembre 2020, le Conseil fédéral a adopté l’ordonnance concernant les mesures pour les cas de rigueur destinées aux entreprises en lien avec l’épidémie de Covid-19 (Ordonnance Covid-19 cas de rigueur ; ci-après : l’ordonnance Covid-19 ou OMCR-20 ; RS 951.262). 2.1 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2.2 Le 29 janvier 2021, le Grand Conseil a adopté l’aLAFE-2021. La loi a pour but de limiter les conséquences économiques de la lutte contre l'épidémie Covid-19 pour les entreprises sises dans le canton de Genève conformément à la loi et à l’Ordonnance Covid-19 (art. 1 al. 1), en atténuant les pertes subies par les entreprises dont les activités avaient été interdites ou réduites en raison même de leur nature entre le 1erjanvier et le 31 décembre 2021 (art. 1 al. 2), et en soutenant par des aides cantonales certaines entreprises ne remplissant pas les critères de l’Ordonnance Covid-19en raison d’une perte de chiffre d’affaires insuffisante et qui ne couvrent pas leurs coûts fixes dans les limites prévues à l’art. 12 (art. 1 al. 3). L’art. 4 prévoit des conditions cumulatives pour bénéficier des aides prévues par l’aLAFE, dont la let. b, à savoir que l’entreprise ne figure pas sur la liste des entreprises en infraction aux art. 45 LIRT, 9 de la loi fédérale sur les conditions minimales de travail et de salaire applicables aux travailleurs détachés en Suisse et sur les mesures d'accompagnement du 8 octobre 1999 (LDét - RS 823.20) ou 13 LTN et s’engage à respecter les usages en vigueur applicables dans leur secteur d’activité dans le canton de Genève. 2.3 Le 30 avril 2021, le Grand Conseil a adopté la loi 12'938 relative aux aides financières extraordinaires de l’État destinées aux entreprises particulièrement touchées par la crise économique ou directement par les mesures de lutte contre</w:t>
      </w:r>
    </w:p>
    <w:p>
      <w:r>
        <w:t>- 7/13 - A/1225/2023 l’épidémie de coronavirus pour l’année 2021 (ci-après : LAFE-2021), qui a abrogé l’aLAFE-2021 (art. 23), tout en en reprenant le dispositif pour l’essentiel. L’art. 5 LAFE reprend la condition de l’art. 4 let. b aLAFE. 2.4 La participation financière indûment perçue doit être restituée sur décision du département (art. 16 al. 1 aLAFE-2021 et 17 al. 1 LAFE-2021). 3. 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3.1 Le secrétariat d’État à l’économie (ci-après : SECO) établit une liste des employeurs faisant l’objet d’une décision entrée en force d’exclusion des marchés publics ou de diminution des aides financières. Cette liste est accessible au public (art. 13 LTN). L’OCIRT tient une liste des employeurs faisant l’objet d’une sanction exécutoire pour non-respect du salaire minimum (art. 39N al. 4 LIRT) ou des usages (art. 45 al. 3 LIRT). Il publie chaque semaine une liste des entreprises contre lesquelles il a rendu une décision de refus de délivrance de l'attestation « marchés publics », pris une décision d'exclusion des marchés publics ou prononcé une décision d'interdiction d'offrir leurs services (https://www.ge.ch/conditions-travail-usage/entreprises-infraction).Celle-ci mentionne les motifs de l’inscription (art. 45 LIRT, 9 LDét ou 13 LTN). 3.2 Selon l’art. 25 al. 1 LIRT, toute entreprise soumise au respect des usages, en vertu d'une disposition légale, réglementaire ou conventionnelle, doit en principe signer auprès de l'OCIRT un engagement de respecter les usages. L'OCIRT délivre à l'entreprise l'attestation correspondante, d'une durée limitée. Selon l’art. 26A LIRT, les entreprises en infraction aux usages font l’objet des sanctions prévues à l’art. 45. Selon l’art. 45 al. 1 LIRT, l’OCIRT peut prononcer contre une entreprise qui ne respecte pas les conditions minimales de travail et de prestations sociales en ou sale ou le salaire minimum (a) une décision de refus de délivrance de l’attestation visée à l’art. 25 pour une durée de trois mois à cinq ans, (b) une amende administrative de CHF 60'000.- au plus et (c) l’exclusion de tous marchés publics pour une période de cinq ans au plus. 4. Le Tribunal fédéral a jugé que ni l'art. 12 de la Loi Covid-19, qui fixe les principes régissant les aides financières pour cas de rigueur versées par la Confédération, ni l’ Ordonnance Covid-19, qui met en œuvre ces principes, n'ouvraient un droit à l'octroi des aides financières concernées, ces textes ne faisant que fixer les conditions minimales pour que la Confédération participe</w:t>
      </w:r>
    </w:p>
    <w:p>
      <w:r>
        <w:t>- 8/13 - A/1225/2023 financièrement aux programmes de soutien aux entreprises mis en place par les cantons (arrêt du Tribunal fédéral 2C_8/2022 du 28 septembre 2022 consid. 1.3.4). Le Tribunal fédéral a de même déjà jugé que ces aides financières, fondées sur la LAFE, étaient des subventions au sens de l'art. 83 let. k LTF. Il a également retenu que les aides financières cantonales reposant sur les art. 9 et 10 LAFE étaient des subventions auxquelles la législation ne donnait aucun droit (arrêt du Tribunal fédéral 2C_711/2022 du 9 décembre 2022 consid. 1.2 ss). La chambre de céans a par ailleurs déjà jugé que le droit cantonal n’introduisait pas une sanction dans la réglementation des aides Covid, mais érigeait en condition à leur octroi le fait de ne pas être inscrit sur une liste en raison d’une sanction. En matière de conditions au soutien financier fédéral aux cantons, la loi Covid-19 ne mentionnait pas la non-inscription des bénéficiaires dans les listes des entreprises sanctionnées, mais précisait que le soutien fédéral était conditionné au respect des exigences minimales de la Confédération (art. 12 al. 1sexies loi Covid-19, entré en vigueur le 20 mars 2021) réservant ainsi aux cantons la possibilité de fixer d’autres exigences (ATA/794/2022 du 9 août 2022 consid. 4c). Le recours contre cet arrêt a été déclaré irrecevable par le Tribunal fédéral (arrêt 2C_741/2022 du 7 mars 2023).</w:t>
      </w:r>
    </w:p>
    <w:p>
      <w:r>
        <w:rPr>
          <w:b/>
        </w:rPr>
        <w:t>E. 5</w:t>
      </w:r>
    </w:p>
    <w:p>
      <w:r>
        <w:t>Dans un premier grief, la recourante se plaint d’une violation du principe de la bonne foi.</w:t>
      </w:r>
    </w:p>
    <w:p>
      <w:r>
        <w:rPr>
          <w:b/>
        </w:rPr>
        <w:t>E. 5.1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w:t>
      </w:r>
    </w:p>
    <w:p>
      <w:r>
        <w:rPr>
          <w:b/>
        </w:rPr>
        <w:t>E. 5.1.1</w:t>
      </w:r>
    </w:p>
    <w:p>
      <w:r>
        <w:t>; arrêts du Tribunal fédéral 1C_204/2022 du 21 mars 2023 consid. 5.1).</w:t>
      </w:r>
    </w:p>
    <w:p>
      <w:r>
        <w:rPr>
          <w:b/>
        </w:rPr>
        <w:t>E. 5.2</w:t>
      </w:r>
    </w:p>
    <w:p>
      <w:r>
        <w:t>Le principe de la bonne foi protège le citoyen dans la confiance légitime qu’il met dans les assurances reçues des autorités lorsqu'il a réglé sa conduite d'après des décisions, des déclarations ou un comportement déterminé de l'administration</w:t>
      </w:r>
    </w:p>
    <w:p>
      <w:r>
        <w:t>- 9/13 - A/1225/2023 (ATF 143 V 95 consid. 3.6.2 ; arrêt du Tribunal fédéral 1C_204/2022 du 21 mars 2023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w:t>
      </w:r>
    </w:p>
    <w:p>
      <w:r>
        <w:rPr>
          <w:b/>
        </w:rPr>
        <w:t>E. 5.3</w:t>
      </w:r>
    </w:p>
    <w:p>
      <w:r>
        <w:t>En l’espèce, il ne peut être soutenu que l’administration aurait eu un comportement propre à tromper l’administrée. La « loi applicable aux aides financières extraordinaires de l’État destiné aux entreprises particulièrement touchées par la crise économique ou directement par les mesures de lutte contre l’épidémie de coronavirus (loi 12863) », mentionnait expressément, à son art. 4, les conditions de leur octroi. Quatre conditions devaient ainsi être remplies, répertoriées sous let. a à d, dont, sous let. b, le fait de ne pas figurer sur la liste des entreprises en infraction. Cette condition était par ailleurs reprise dans la convention d’octroi de contribution à fonds perdus que la recourante a signée le 5 février 2021. Le document ne comprend que quatre pages. Après un préambule, le rappel des bases légales, du principe de la bonne foi et du but de l’aide financière, le chiffre 5 détaille en cinq points l’ « engagement de l’entreprise bénéficiaire », dont, sous chiffre 5.1 la question de la « véracité des déclarations ». Il ressort très clairement de ce document que l’entreprise bénéficiaire confirmait pour sa signature remplir sept points précis, la présentation graphique ne laissant aucun doute. La compréhension de chacun d’entre eux est aisée, à l’instar du fait que la formation d’apprentis devait être maintenue, qu’aucune procédure de faillite ou de liquidation ne devait être ouverte au moment du dépôt de la demande, qu’aucune procédure de poursuite relative à des cotisations sociales ne devait être ouverte au 15 mars 2020 et, dans le cas contraire, qu’un plan de paiement devait avoir été convenu ou que la procédure devait s’être conclue par un paiement au moment du dépôt de la demande et que la société ne devait pas figurer sur la liste des entreprises en infraction aux arts. 45 LIRT ou 13 LTN. Les conditions à remplir pour pouvoir bénéficier de l’aide étaient en conséquence claires. La recourante ne conteste pas qu’elle savait qu’elle figurait sur la liste des entreprises en infraction. La décision du 17 septembre 2020 l’excluant des marchés publics et lui supprimant les aides financières était expressément dirigée contre la société. Ledit document faisait d’ailleurs mention que la société avait</w:t>
      </w:r>
    </w:p>
    <w:p>
      <w:r>
        <w:t>- 10/13 - A/1225/2023 contesté le caractère grave et réitéré des infractions reprochées et arguait que la faute ne pouvait lui être imputée directement, grief qui a été écarté dans la décision contre laquelle aucun recours n’a été interjeté. La société a déposé sa demande pour cas de rigueur cinq mois après avoir été sanctionnée. À cette occasion, elle a confirmé, dans la convention d’octroi signée le 15 février 2021, qu’elle ne figurait pas sur la liste des entreprises en infraction à l’art. 13 LTN, ce qu’elle savait être inexact. L’avenant à la convention, signé le 27 octobre 2021, renvoyait expressément à ladite convention en rappelant que cette dernière régissait les engagements respectifs des parties. La société est donc malvenue de prétendre que ladite convention ne contiendrait pas de rappel sur le fait que les bénéficiaires ne devaient pas avoir été au préalable sanctionnés. La recourante n’est dès lors pas fondée à se prévaloir d’une violation du principe de la bonne foi ni à reprocher à l’autorité intimée de l’avoir violé. Elle ne peut non plus être suivie lorsqu’elle indique avoir été confortée dans son droit aux aides du seul fait qu’elle avait reçu un courrier du département l’informant que les plafonds d’aides avaient été modifiés et qu’elle pouvait prétendre à un complément. Ce courrier ne correspond, en effet, en rien à la notion de renseignements inexacts qui auraient été donnés par l’administration au sens de la condition 3 au sens de la jurisprudence précitée pouvant obliger celle-ci à consentir à un administré un avantage contraire à la réglementation en vigueur. Le département a dûment attiré l’attention des entreprises qui sollicitaient son aide sur les conditions à remplir, l’urgence du traitement des dossiers, la possibilité de contrôles ultérieurs et le risque de restitution. La recourante ne peut être suivie lorsqu’elle se prévaut du fait que l’administration devait savoir qu’elle était sur la liste des entreprises sanctionnées. Il appartenait à la recourante de répondre de façon conforme à la réalité lorsqu’elle a sollicité une prestation de l’État. La recourante sachant, ou devant en tous les cas savoir, qu’elle ne remplissait pas les conditions d’éligibilité, son argumentation sur son appauvrissement en raison de la perception des aides et de son éventuelle future faillite, par ailleurs uniquement alléguée, ne peut être retenue, étant rappelé que l’autorité intimée a offert la possibilité de convenir d’un paiement échelonné si sa situation financière devait l’exiger. Ce grief sera écarté.</w:t>
      </w:r>
    </w:p>
    <w:p>
      <w:r>
        <w:rPr>
          <w:b/>
        </w:rPr>
        <w:t>E. 6</w:t>
      </w:r>
    </w:p>
    <w:p>
      <w:r>
        <w:t>Dans un second grief, la recourante invoque une violation du principe de la proportionnalité.</w:t>
      </w:r>
    </w:p>
    <w:p>
      <w:r>
        <w:rPr>
          <w:b/>
        </w:rPr>
        <w:t>E. 6.1</w:t>
      </w:r>
    </w:p>
    <w:p>
      <w:r>
        <w:t>Le principe de la proportionnalité, garanti par l’art. 5 al.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w:t>
      </w:r>
    </w:p>
    <w:p>
      <w:r>
        <w:t>- 11/13 - A/1225/2023 sur la situation de l’administré et le résultat escompté du point de vue de l’intérêt public (ATF 140 I 218 consid. 6.7.1 ; 136 IV 97 consid. 5.2.2).</w:t>
      </w:r>
    </w:p>
    <w:p>
      <w:r>
        <w:rPr>
          <w:b/>
        </w:rPr>
        <w:t>E. 6.2</w:t>
      </w:r>
    </w:p>
    <w:p>
      <w:r>
        <w:t>En l’espèce, on peine à discerner en quoi la décision ne respecterait pas le principe de la proportionnalité, dès lors que la société ne remplissait pas les conditions d’éligibilité aux aides et que l’administration n’a aucun pouvoir d’appréciation ni quant au principe de la restitution ni quant au montant. C’est ainsi de manière conforme à la loi que le département a réclamé le remboursement de l’aide de CHF 237'850.50. Entièrement mal fondé, le recours sera rejeté.</w:t>
      </w:r>
    </w:p>
    <w:p>
      <w:r>
        <w:rPr>
          <w:b/>
        </w:rPr>
        <w:t>E. 7</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