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ATA/978/2019 vom 4. Juni 2019</w:t>
      </w:r>
    </w:p>
    <w:p>
      <w:r>
        <w:t>GE Cour de justice, 2019-06-04, FR</w:t>
      </w:r>
    </w:p>
    <w:p>
      <w:r>
        <w:rPr>
          <w:b/>
        </w:rPr>
        <w:t xml:space="preserve">Quelle: </w:t>
      </w:r>
      <w:r>
        <w:t>https://mcp.opencaselaw.ch/entscheid/ge_gerichte_ATA_978_2019</w:t>
      </w:r>
    </w:p>
    <w:p>
      <w:r>
        <w:t>FR: GE_GERICHTE ATA/978/2019 du 4 juin 2019</w:t>
      </w:r>
    </w:p>
    <w:p>
      <w:r>
        <w:t>IT: GE_GERICHTE ATA/978/2019 del 4 giugno 2019</w:t>
      </w:r>
    </w:p>
    <w:p>
      <w:pPr>
        <w:pStyle w:val="Heading2"/>
      </w:pPr>
      <w:r>
        <w:t>Regeste</w:t>
      </w:r>
    </w:p>
    <w:p>
      <w:r>
        <w:t>Résumé: Le dossier ne fait pas apparaître que la violence conjugale invoquée par la recourante revête une intensité telle qu'elle empêche la poursuite de la vie commune.</w:t>
      </w:r>
    </w:p>
    <w:p>
      <w:pPr>
        <w:pStyle w:val="Heading2"/>
      </w:pPr>
      <w:r>
        <w:t>Erwägungen</w:t>
      </w:r>
    </w:p>
    <w:p>
      <w:r>
        <w:rPr>
          <w:b/>
        </w:rPr>
        <w:t>E. 9</w:t>
      </w:r>
    </w:p>
    <w:p>
      <w:r>
        <w:t>décembre 2015, il s’était rendu à l’OCPM pour dénoncer une prétendue relation extraconjugale qu’elle entretenait pour finalement revenir sur ses déclarations.</w:t>
      </w:r>
    </w:p>
    <w:p>
      <w:r>
        <w:t>d. Parmi les pièces produites figure une attestation de M. A______ du 29 mai 2019, selon laquelle Mme A______ avait quitté le domicile conjugal le 15 février 2016. Il avait précédemment allégué que son épouse avait une relation extraconjugale et qu’elle avait quitté l’appartement le 1er février 2016, car il était énervé. Ils avaient mené une vie commune jusqu’au 15 février 2016. 26) Le 11 juin 2018, le TAPI a transmis son dossier sans formuler d’observations. 27) Le 9 juillet 2018, l’OCPM a conclu au rejet du recours. Le recours et les pièces versées au dossier n’apportaient pas d’éléments nouveaux. 28) Le 16 juillet 2018, Mme A______ a fait parvenir à la chambre administrative une copie du courrier adressé par M. A______ au TPI le 5 mai 2018 ainsi que du jugement du TPI du 11 mai 2018, par lequel ce dernier constatait qu’en raison du retrait de la demande en divorce, la cause était rayée du rôle.</w:t>
      </w:r>
    </w:p>
    <w:p>
      <w:r>
        <w:t>- 11/19 - A/3996/2016 29) Le 9 avril 2019, donnant suite à une demande de renseignements de la chambre administrative, l’OCPM a précisé que les époux étaient toujours domiciliés à des adresses différentes. 30) Le 12 avril 2019, Mme A______ a informé la chambre de céans s’être réconciliée avec son mari. Elle le fréquentait à nouveau depuis le printemps 2018. Elle versait à la procédure une confirmation de la part de ce dernier. Ils avaient toutefois conservé leurs appartements respectifs. 31)</w:t>
      </w:r>
    </w:p>
    <w:p>
      <w:r>
        <w:t>Le contenu des pièces produites sera repris en tant que de besoin dans la partie en droit ci-après. 32) Le 24 avril 2019,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2)</w:t>
      </w:r>
    </w:p>
    <w:p>
      <w:r>
        <w:t>Le 1er janvier 2019, est entrée en vigueur une modification de la loi fédérale sur les étrangers du 16 décembre 2005 (LEtr), devenue la loi sur les étrangers et l’intégration (LEI - RS 142.20).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 ATA/1052/2017 du 4 juillet 2017 consid. 4), prévaut.</w:t>
      </w:r>
    </w:p>
    <w:p>
      <w:r>
        <w:t>Les faits de la présente cause s’étant intégralement déroulés avant le 1er janvier 2019, ils sont soumis aux dispositions de la LEI dans sa teneur en vigueur jusqu'au 31 décembre 2018. 3)</w:t>
      </w:r>
    </w:p>
    <w:p>
      <w:r>
        <w:t>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LEI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w:t>
      </w:r>
    </w:p>
    <w:p>
      <w:r>
        <w:t>- 12/19 - A/3996/2016 traitement, la proportionnalité et l'interdiction de l'arbitraire (ATA/792/2019 du</w:t>
      </w:r>
    </w:p>
    <w:p>
      <w:r>
        <w:rPr>
          <w:b/>
        </w:rPr>
        <w:t>E. 16</w:t>
      </w:r>
    </w:p>
    <w:p>
      <w:r>
        <w:t>avril 2019 ; ATA/10/2017 du 10 janvier 2017). 4) a.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ATA/792/2019 précité ; ATA/991/2016 du 22 novembre 2016 et les arrêts cités).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(ATA/792/2019 précité ; ATA/1155/2018 du 30 octobre 2018 consid. 3b et les références citées).</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ATA/792/2019 précité ; ATA/991/2016 précité). Le juge forme ainsi librement sa conviction en analysant la force probante des preuves administrées et ce n’est ni le genre, ni le nombre des preuves qui est déterminant, mais leur force de persuasion (ATA/792/2019 précité ; ATA/1155/2018 précité consid. 3b). 5) a. Le conjoint d’un ressortissant suisse a droit à l’octroi d’une autorisation de séjour et à la prolongation de sa durée de validité à condition de vivre en ménage commun avec lui (art. 42 al. 1 LEI). Cette disposition requiert non seulement le mariage des époux, mais aussi leur ménage commun (ATF 136 II 113 consid. 3.2).</w:t>
      </w:r>
    </w:p>
    <w:p>
      <w:r>
        <w:t>b. Après dissolution de la famille, le droit du conjoint d’un ressortissant suisse à l'octroi d'une autorisation de séjour et à la prolongation de sa durée de validité en vertu de l’art. 42 LEI subsiste si l'union conjugale a duré au moins trois ans et</w:t>
      </w:r>
    </w:p>
    <w:p>
      <w:r>
        <w:t>- 13/19 - A/3996/2016 l'intégration est réussie (let. a) ou la poursuite du séjour en Suisse s'impose pour des raisons personnelles majeures (let. b ; art. 50 al. 1 LEI).</w:t>
      </w:r>
    </w:p>
    <w:p>
      <w:r>
        <w:t>L'art. 50 LEI, dans sa teneur en vigueur jusqu’au 31 décembre 2018, ne trouve application qu'en cas d'échec définitif de la communauté conjugale (ATF 140 II 345 consid. 4 ; 140 II 129 consid. 3.5).</w:t>
      </w:r>
    </w:p>
    <w:p>
      <w:r>
        <w:t>c.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ATA/792/2019 précité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ATA/1211/2017 précité consid. 7b).</w:t>
      </w:r>
    </w:p>
    <w:p>
      <w:r>
        <w:t>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 Nathalie CHRISTEN in Code annoté du droit de la migration, 2017, Vol II : LEI, ad. art. 50 p. 466 n. 10).</w:t>
      </w:r>
    </w:p>
    <w:p>
      <w:r>
        <w:t>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LEI), à condition que les époux soient véritablement et sérieusement déterminés à poursuivre leur communauté conjugale (ATF 140 II 345 consid. 4.5.2 et les arrêts cités).</w:t>
      </w:r>
    </w:p>
    <w:p>
      <w:r>
        <w:t>Il n’est pas nécessaire d’examiner la condition de la réussite de l’intégration lorsque l’union conjugale a duré moins de trois ans, les deux conditions étant cumulatives (arrêt du Tribunal fédéral 2C_352/2014 du 18 mars 2015 consid. 4 ; ATA/203/2018 du 6 mars 2018 consid. 4a).</w:t>
      </w:r>
    </w:p>
    <w:p>
      <w:r>
        <w:t>- 14/19 - A/3996/2016</w:t>
      </w:r>
    </w:p>
    <w:p>
      <w:r>
        <w:t>d. En l’espèce, les époux se sont mariés le ______ 2013. Entendue par le TPI le 11 février 2016, la recourante a indiqué avoir son propre logement depuis le 1er février 2016 et ne pas s’opposer au principe de la vie séparée. Dès lors que son mari a sollicité des mesures protectrices de l’union conjugale le 23 novembre 2015 et qu’elle a signé un contrat de bail pour le 1er février 2016, c’est conformément au droit que l’autorité intimée a constaté que l’union conjugale était dissoute avant le ______ 2016, les époux n’ayant plus l’intention de continuer leur vie commune. Si la recourante s’est opposée au principe de la vie séparée, son mari a quant à lui souhaité sans équivoque mettre un terme à leur union.</w:t>
      </w:r>
    </w:p>
    <w:p>
      <w:r>
        <w:t>La chambre administrative partage l’avis de l’autorité intimée et du TAPI, à savoir que les attestations produites en appel, par lesquelles M. A______ certifie que la recourante a quitté le domicile conjugal le 15 février 2016 doivent être appréciées avec retenue. En effet, elles ont été rédigées alors que les époux semblent s’être réconciliés. De plus, ces déclarations sont infirmées par les pièces précitées et notamment par les propos de la recourante devant le TPI.</w:t>
      </w:r>
    </w:p>
    <w:p>
      <w:r>
        <w:t>Les dernières pièces versées ne permettent pas d’établir que les époux ont repris une vie commune. En effet, celle-ci exige un domicile conjugal commun, sauf exception non réalisée en l’espèce. Or, d’après le dernier courrier reçu par la chambre administrative le 15 avril 2019, les époux ont conservé leur appartement respectif, ce qui est du reste confirmé par la recourante dans sa dernière écriture.</w:t>
      </w:r>
    </w:p>
    <w:p>
      <w:r>
        <w:t>Par conséquent, il n’est pas établi que les époux soient véritablement et sérieusement déterminés à poursuivre leur communauté conjugale.</w:t>
      </w:r>
    </w:p>
    <w:p>
      <w:r>
        <w:t>Pour ces motifs, la chambre administrative constate que la volonté des époux de continuer à faire ménage commun avait disparu le ______ 2016, et qu’il n’a pas été démontré qu’ils ont repris la vie commune au sens de la loi depuis lors.</w:t>
      </w:r>
    </w:p>
    <w:p>
      <w:r>
        <w:t>Par conséquent, la première condition de l’art 50 al. 1 let. a LEI, soit l’existence d’une vie commune d’au moins trois ans, n’est pas réalisée. Il n’est pas nécessaire d’examiner la question de la réussite de l’intégration, les deux conditions étant cumulatives. 6) a. Outre les hypothèses retenues à l’art. 50 al. 1 let. a LEI, le droit au renouvellement de l'autorisation de séjour délivrée en vertu des art. 42 et 43 LEI subsiste si la poursuite du séjour en Suisse s'impose pour des raisons personnelles majeures (art. 50 al. 1 let. b LEI).</w:t>
      </w:r>
    </w:p>
    <w:p>
      <w:r>
        <w:t>b. Des raisons personnelles majeures sont notamment données lorsque le conjoint est victime de violences conjugales (art. 50 al. 2 LEI). Celle-ci peut être de nature tant physique que psychique. Les violences conjugales doivent revêtir une certaine intensité (ATF 138 II 393 consid. 3.1 ; 136 II 1 consid. 5.3). Il faut</w:t>
      </w:r>
    </w:p>
    <w:p>
      <w:r>
        <w:t>- 15/19 - A/3996/2016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SEM, Directives et commentaires domaine des étrangers – Directives LEtr – octobre 2013, actualisées le 1er janvier 2019 SEM, ch. 6.15.3.3).</w:t>
      </w:r>
    </w:p>
    <w:p>
      <w:r>
        <w:t>La violence conjugale au sens de la LEI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gifle ou le fait pour un époux étranger d'avoir été enfermé une fois dehors par son épouse ne suffisent pas (ATF 138 II 229 consid. 3.2.1 ; 136 II 1 consid. 5.4 ; arrêt du Tribunal fédéral 2C_783/2014 du 27 janvier 2015 consid. 3.2). Par ailleurs, un acte de violence isolé, mais particulièrement grave, peut à lui seul conduire à admettre l'existence de raisons personnelles majeures au sens de l'art. 50 al. 1 let. b et al. 2 LEI (arrêts du Tribunal fédéral 2C_982/2010 du 3 mai 2011 consid. 3.3 et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w:t>
      </w:r>
    </w:p>
    <w:p>
      <w:r>
        <w:t>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(arrêt du Tribunal fédéral 2C_777/2015 précité consid. 3.2 non publié in ATF 142 I 152 ; arrêts du Tribunal fédéral 2C_1085/2017 du 22 mai 2018 consid. 3.3 et 2C_649/2015 du 1er avril 2016 consid. 4.2).</w:t>
      </w:r>
    </w:p>
    <w:p>
      <w:r>
        <w:t>c. 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de l’ordonnance relative à l'admission, au séjour et à l'exercice d'une activité lucrative du 24 octobre 2007 [OASA - RS 142.201]). Lors de l'examen des raisons</w:t>
      </w:r>
    </w:p>
    <w:p>
      <w:r>
        <w:t>- 16/19 - A/3996/2016 personnelles majeures, les autorités compétentes tiennent compte des indications et des renseignements fournis par des services spécialisés (art. 77 al. 6bis OASA).</w:t>
      </w:r>
    </w:p>
    <w:p>
      <w:r>
        <w:t>Lorsque des contraintes psychiques sont invoquées, il incombe à la personne d'illustrer de façon concrète et objective, ainsi que d'établir par preuves le caractère systématique de la maltraitance, sa durée, ainsi que les pressions subjectives qui en résultent. Des affirmations d'ordre général ou des indices faisant état de tensions ponctuelles sont insuffisants (arrêt 2C_777/2015 précité consid. 3.3 non publié aux ATF 142 I 152 ; ATF 138 II 229 consid. 3.2.3). 7)</w:t>
      </w:r>
    </w:p>
    <w:p>
      <w:r>
        <w:t>En l’espèce, la recourante allègue avoir été victime de violences conjugales, en particulier de pressions psychologiques. Elle a versé à la procédure la plainte déposée contre son mari le 8 décembre 2015 auprès du poste de gendarmerie de Lancy-Onex, pour lésions corporelles simples, injures et menaces et pour le vol de son téléphone portable. Toutefois, elle n’indique pas quelle suite y a été donnée. Le dossier ne contient pas de rapport de police, de jugement pénal ni d’ordonnance ou de jugement rendus en application de l’art. 28b du Code civil suisse du 10 décembre 1907 (CC - RS 210).</w:t>
      </w:r>
    </w:p>
    <w:p>
      <w:r>
        <w:t>L’examen des indices de violence conjugale doit en conséquence se faire sur les seuls certificats médicaux produits, attestations des associations consultées et des témoignages écrits.</w:t>
      </w:r>
    </w:p>
    <w:p>
      <w:r>
        <w:t>Les attestations versées au dossier résument en substance le récit de la recourante. Elles ne renseignent toutefois pas sur la fréquence et l’intensité des violences. Elles ne permettent pas de savoir en quoi elles ont consisté. Sur le plan physique, les lésions constatées sont principalement des hématomes et sont considérées compatibles avec la description des événements faite par la recourante. Sans les minimiser, l’intensité des violences apparaît toutefois difficile à établir. Or, et comme l’a rappelé le Tribunal fédéral, le devoir de collaboration des étrangers est important sur cette problématique. Ils doivent rendre l’existence d’une violence conjugale crédible, démontrer la répétition et l’intensité des atteintes en s’appuyant sur des preuves adéquates (ATF 138 II 299 consid. 3.2.3). Les pièces versées à la procédure ne permettent pas de démontrer l’intensité requise par la jurisprudence du Tribunal fédéral.</w:t>
      </w:r>
    </w:p>
    <w:p>
      <w:r>
        <w:t>La recourante ne démontre pas plus l’existence de violences psychiques. Un seul témoin, Mme F______, une voisine de couple, a attesté avoir pu constater le 7 décembre que le mari de la recourante était très énervé de la trouver dans leur appartement et qu’elle en était rapidement partie car elle avait eu peur. Elle ne relate toutefois pas avoir été témoin de violence envers la recourante. Enfin, si les messages versés à la procédure démontrent que le mari avait des doutes quant à l’existence d’une relation extraconjugale entretenue par la recourante, qu’il en était jaloux et a pu la menacer de ne pas pouvoir poursuivre son séjour en Suisse, ils ne permettent pas d’établir une situation de violence ou de pression</w:t>
      </w:r>
    </w:p>
    <w:p>
      <w:r>
        <w:t>- 17/19 - A/3996/2016 psychologique intense et répétée, qui serait de nature à menacer sérieusement sa personnalité.</w:t>
      </w:r>
    </w:p>
    <w:p>
      <w:r>
        <w:t>D’ailleurs, entendue le 11 février 2016 par le TPI, la recourante a indiqué qu’elle s’opposait à la séparation. Ce faisant, elle a admis qu'une reprise de la vie commune était envisageable. Devant la chambre administrative, elle invoque d’une part son droit à l’obtention d’un droit de séjour en Suisse pour cas de rigueur, soit au motif d’avoir été victime de violences conjugales. D’autre part, et quand bien même elle est financièrement indépendante et a conclu un bail en son propre nom, elle admet avoir repris au printemps 2018 une vie de couple avec son conjoint, qu’elle n’a eu de cesse auparavant de décrire comme étant violent.</w:t>
      </w:r>
    </w:p>
    <w:p>
      <w:r>
        <w:t>Pour ces motifs, le dossier ne fait pas apparaître que la violence conjugale invoquée par la recourante revête une intensité telle qu'elle empêche la poursuite de la vie commune (arrêt 2C_859/2017 du 20 décembre 2017 consid. 5.2).</w:t>
      </w:r>
    </w:p>
    <w:p>
      <w:r>
        <w:t>Dans ces conditions, c'est à bon droit que l’OCPM puis le TAPI ont retenu que la situation de la recourante ne relevait pas d'un cas de violence conjugale répondant aux critères jurisprudentiels de gravité exigés par l'art. 50 al. 2 LEI, et que l'intéressée ne pouvait donc pas invoquer des raisons personnelles majeures (art. 50 al. 1 let. b LEI) pour en déduire un droit de séjour en Suisse en lien avec la violence conjugale dont elle affirmait avoir été victime. 8)</w:t>
      </w:r>
    </w:p>
    <w:p>
      <w:r>
        <w:t>La recourante n’a pas démontré que l’OCPM était sur le point de lui délivrer un permis d'établissement. 9)</w:t>
      </w:r>
    </w:p>
    <w:p>
      <w:r>
        <w:t>Pour le surplus, il n’est pas allégué – et il ne ressort par ailleurs pas du dossier – que l’exécution de son renvoi serait impossible, illicite ou ne serait pas raisonnablement exigible. 10) Pour ces motifs, le recours doit être rejeté. Vu l’issue du litige, un émolument de CHF 400.- sera mis à la charge de la recourante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