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ATA/977/2025 vom 9. September 2025</w:t>
      </w:r>
    </w:p>
    <w:p>
      <w:r>
        <w:t>GE Cour de justice, 2025-09-09, FR</w:t>
      </w:r>
    </w:p>
    <w:p>
      <w:r>
        <w:rPr>
          <w:b/>
        </w:rPr>
        <w:t xml:space="preserve">Quelle: </w:t>
      </w:r>
      <w:r>
        <w:t>https://mcp.opencaselaw.ch/entscheid/ge_gerichte_ATA_977_2025</w:t>
      </w:r>
    </w:p>
    <w:p>
      <w:r>
        <w:t>FR: GE_GERICHTE ATA/977/2025 du 9 septembre 2025</w:t>
      </w:r>
    </w:p>
    <w:p>
      <w:r>
        <w:t>IT: GE_GERICHTE ATA/977/2025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LPA).</w:t>
      </w:r>
    </w:p>
    <w:p>
      <w:r>
        <w:rPr>
          <w:b/>
        </w:rPr>
        <w:t>E. 2</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w:t>
      </w:r>
    </w:p>
    <w:p>
      <w:r>
        <w:rPr>
          <w:b/>
        </w:rPr>
        <w:t>E. 2.1</w:t>
      </w:r>
    </w:p>
    <w:p>
      <w:r>
        <w:t>En l'espèce, la procédure a pour seul objet le bien-fondé du jugement du TAPI confirmant la décision du 28 juin 2023 du département, refusant d’entrer en matière sur la demande de reconsidération du recourant. Partant, sa conclusion tendant à ce que soit ordonnée l'ouverture d'une procédure de remise en état contre la construction litigieuse excède le cadre du litige et est irrecevable. Il en va de même de sa nouvelle conclusion – au demeurant tardive – prise dans le cadre de sa réplique tendant à ce que soit ordonnée une procédure d'infraction.</w:t>
      </w:r>
    </w:p>
    <w:p>
      <w:r>
        <w:rPr>
          <w:b/>
        </w:rPr>
        <w:t>E. 3</w:t>
      </w:r>
    </w:p>
    <w:p>
      <w:r>
        <w:t>Même si le recourant ne soulève pas expressément de griefs à cet égard, il convient d'examiner tout d'abord si c'est à bon droit que le TAPI a confirmé le refus du département d'entrer en matière sur la demande de reconsidération.</w:t>
      </w:r>
    </w:p>
    <w:p>
      <w:r>
        <w:rPr>
          <w:b/>
        </w:rPr>
        <w:t>E. 3.1</w:t>
      </w:r>
    </w:p>
    <w:p>
      <w:r>
        <w:t>Selon la jurisprudence,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w:t>
      </w:r>
    </w:p>
    <w:p>
      <w:r>
        <w:t>- 6/10 - A/2821/2023 précédente (art. 80 let. b LPA ; faits nouveaux « anciens » ; ATA/566/2025 du 20 mai 2025 consid. 3.1 ; ATA/539/2020 du 29 mai 2020 consid. 5b).</w:t>
      </w:r>
    </w:p>
    <w:p>
      <w:r>
        <w:rPr>
          <w:b/>
        </w:rPr>
        <w:t>E. 3.2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du 23 avril 2024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(ATA/566/2025 précité consid. 3.1 ; ATA/539/2020 précité consid. 4b).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3.3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ATA/566/2025 précité consid. 3.2).</w:t>
      </w:r>
    </w:p>
    <w:p>
      <w:r>
        <w:rPr>
          <w:b/>
        </w:rPr>
        <w:t>E. 3.4</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arrêts du Tribunal fédéral 2C_172/2013 du 21 juin 2013 consid. 1.4 ; 2C_504/2013 du 5 juin 2013 consid. 3 ; ATA/566/2025 précité consid. 3.3). Ainsi, dans la mesure où la décision attaquée ne porte que sur la</w:t>
      </w:r>
    </w:p>
    <w:p>
      <w:r>
        <w:t>- 7/10 - A/2821/2023 question de la recevabilité de la demande de réexamen, le recourant ne peut que contester le refus d'entrer en matière que l'autorité intimée lui a opposé, mais non invoquer le fond, des conclusions prises à cet égard n'étant pas recevables (ATF 126 II 377 consid. 8d ; arrêt du Tribunal fédéral 2C_115/2016 du 31 mars 2016 consid. 5).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op. cit., n. 1429 p. 493).</w:t>
      </w:r>
    </w:p>
    <w:p>
      <w:r>
        <w:rPr>
          <w:b/>
        </w:rPr>
        <w:t>E. 3.5</w:t>
      </w:r>
    </w:p>
    <w:p>
      <w:r>
        <w:t>En l'espèce, le recourant avait fondé sa demande de reconsidération sur le fait que l'autorisation de construire litigieuse violerait des dispositions légales du droit des constructions. À l'instar du TAPI, il convient de relever qu'il s'agit en tout état d'éléments existant déjà au moment de l'octroi de l'autorisation querellée et que le recourant ne prétend pas qu'il aurait été dans l'incapacité de s'en prévaloir dans le cadre de la procédure d'autorisation de construire en faisant preuve de toute la diligence voulue. S'agissant des nouvelles circonstances alléguées par le recourant qui seraient intervenues depuis la décision querellée, à savoir le fait que les travaux autorisés avaient été entrepris alors que celle-ci était devenue caduque, il convient de relever que la caducité ne saurait constituer un motif de reconsidération d'une décision, dès lors qu'elle serait en réalité appelée à en entraîner la révocation. Le motif d'une violation de l’autorisation de construire ne peut non plus être considéré comme un motif de reconsidération, l’irrespect d’une condition prévue dans une décision ne constituant pas un fait nouveau « nouveau » et l'autorisation de construire demeurant valide. Il découle de ce qui précède que le département était fondé à refuser d’entrer en matière sur la demande en reconsidération de la décision prononcée le 28 juin 2023. Le recours doit dès lors être rejeté sur ce point.</w:t>
      </w:r>
    </w:p>
    <w:p>
      <w:r>
        <w:rPr>
          <w:b/>
        </w:rPr>
        <w:t>E. 4</w:t>
      </w:r>
    </w:p>
    <w:p>
      <w:r>
        <w:t>Le recourant reproche au TAPI de ne pas lui avoir donné la qualité de partie mais uniquement celle de dénonciateur, retenant ainsi l'absence de déni de justice de la part de l'autorité intimée. Pour le recourant, le TAPI aurait, ce faisant, lui-même consacré un déni de justice.</w:t>
      </w:r>
    </w:p>
    <w:p>
      <w:r>
        <w:rPr>
          <w:b/>
        </w:rPr>
        <w:t>E. 4.1</w:t>
      </w:r>
    </w:p>
    <w:p>
      <w:r>
        <w:t>Selon l’art. 62 al. 6 LPA, une partie peut recourir en tout temps pour déni de justice ou retard non justifié si l’autorité concernée ne donne pas suite rapidement à la mise en demeure prévue à l’art. 4 al. 4 LPA.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w:t>
      </w:r>
    </w:p>
    <w:p>
      <w:r>
        <w:t>- 8/10 - A/2821/2023 pour l’autorité qui refuse expressément de statuer, alors qu’elle en a l’obligation. Un tel déni constitue une violation de l’art. 29 al. Cst. (ATF 135 I 6 consid. 2.1). La reconnaissance d’un refus de statuer ne peut être admise que si l’autorité mise en demeure avait le devoir de rendre une décision ou, vu sous un autre angle, si le recourant avait un droit à en obtenir une de sa part (ATF 135 II 60 consid. 3.1.2 ; ATA/876/2024 du 23 juillet 2024 consid. 2.3 et l'arrêt cité).</w:t>
      </w:r>
    </w:p>
    <w:p>
      <w:r>
        <w:rPr>
          <w:b/>
        </w:rPr>
        <w:t>E. 4.2</w:t>
      </w:r>
    </w:p>
    <w:p>
      <w:r>
        <w:t>Selon l'art. 10A LPA, toute personne peut porter à la connaissance des autorités des faits susceptibles d’entraîner l’ouverture d’une procédure administrative. Toutefois, l’autorité ne donne aucune suite aux dénonciations anonymes.</w:t>
      </w:r>
    </w:p>
    <w:p>
      <w:r>
        <w:rPr>
          <w:b/>
        </w:rPr>
        <w:t>E. 4.3</w:t>
      </w:r>
    </w:p>
    <w:p>
      <w:r>
        <w:t>Il n'est pas contesté que le recourant n'a pas interjeté recours contre l'autorisation de construire litigieuse, de sorte qu’il n’a pas été partie à une éventuelle procédure concernant l'autorisation de construire litigieuse. Dans sa demande du 5 avril 2023, le recourant a certes conclu au constat de la caducité de l'APA 3______ délivrée le 11 mars 2010, à sa révocation, à l'ouverture d'une « procédure contre les constructions incriminées » et au prononcé d'un ordre de démolition de la construction litigieuse. En agissant ainsi, le recourant a toutefois uniquement acquis le statut de dénonciateur au sens de l'art. 10A LPA et ne possède aucun droit à ce qu’une décision soit prononcée suite à sa requête. Dès lors, il ne peut être retenu qu’il incombait au département de rendre une décision. Par conséquent, c'est de manière bien fondée que le TAPI a nié l'existence d'un déni de justice de la part l’autorité intimée.</w:t>
      </w:r>
    </w:p>
    <w:p>
      <w:r>
        <w:rPr>
          <w:b/>
        </w:rPr>
        <w:t>E. 5</w:t>
      </w:r>
    </w:p>
    <w:p>
      <w:r>
        <w:t>Le recourant soutient que l'autorité intimée aurait dû constater d'office la caducité de l'autorisation APA 3______, celle-ci ayant été délivrée en 2010 mais n'ayant connu un début de travaux qu'en 2018, sans avoir été prolongée dans l'intervalle.</w:t>
      </w:r>
    </w:p>
    <w:p>
      <w:r>
        <w:rPr>
          <w:b/>
        </w:rPr>
        <w:t>E. 5.1</w:t>
      </w:r>
    </w:p>
    <w:p>
      <w:r>
        <w:t>L’art 49 LPA prévoit que l’autorité compétente peut d’office ou sur demande constater par une décision l’existence, l’inexistence ou l’étendue de droits ou d’obligations fondés sur le droit public (al. 1). Elle donne suite à une demande en constatation si le requérant rend vraisemblable qu’il a un intérêt juridique personnel et concret, digne de protection (al. 2).</w:t>
      </w:r>
    </w:p>
    <w:p>
      <w:r>
        <w:rPr>
          <w:b/>
        </w:rPr>
        <w:t>E. 5.2</w:t>
      </w:r>
    </w:p>
    <w:p>
      <w:r>
        <w:t>Conformément à l’art. 4 al. 5, 1re phrase LCI, l’autorisation est caduque si les travaux ne sont pas entrepris dans les deux ans qui suivent sa publication dans la FAO.</w:t>
      </w:r>
    </w:p>
    <w:p>
      <w:r>
        <w:rPr>
          <w:b/>
        </w:rPr>
        <w:t>E. 5.3</w:t>
      </w:r>
    </w:p>
    <w:p>
      <w:r>
        <w:t>En l'espèce, l'autorisation de construire querellée a été concrétisée, même tardivement, sans que sa caducité n'ait été constatée en temps utile. À l'instar du TAPI, il convient de relever que l'autorité intimée n'est plus fondée à faire un tel constat, car il n'existe plus de motif valable pour le faire.</w:t>
      </w:r>
    </w:p>
    <w:p>
      <w:r>
        <w:t>- 9/10 - A/2821/2023 De plus, si le recourant évoque ses droits civils et la garantie de la propriété en lien avec la perte de valeur vénale de sa propriété, ces aspects relèvent exclusivement du droit privé et sont ainsi exorbitants à la procédure d'autorisation de construire. Enfin, les cas traités par le Tribunal fédéral (arrêts 1C_354/2022), respectivement le TAPI (JTAPI/72/2022), cités par le recourant dans son recours sont ici totalement irrelevants dans la mesure où ils ne traitent pas d'une problématique liée aux principes qui régissent la reconsidération ou la décision constatatoire. Le grief sera donc écarté. Mal fondé, le recours sera rejeté.</w:t>
      </w:r>
    </w:p>
    <w:p>
      <w:r>
        <w:rPr>
          <w:b/>
        </w:rPr>
        <w:t>E. 6</w:t>
      </w:r>
    </w:p>
    <w:p>
      <w:r>
        <w:t>Vu l’issue du litige, un émolument de CHF 900.-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