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ATA/976/2025 vom 9. September 2025</w:t>
      </w:r>
    </w:p>
    <w:p>
      <w:r>
        <w:t>GE Cour de justice, 2025-09-09, FR</w:t>
      </w:r>
    </w:p>
    <w:p>
      <w:r>
        <w:rPr>
          <w:b/>
        </w:rPr>
        <w:t xml:space="preserve">Quelle: </w:t>
      </w:r>
      <w:r>
        <w:t>https://mcp.opencaselaw.ch/entscheid/ge_gerichte_ATA_976_2025</w:t>
      </w:r>
    </w:p>
    <w:p>
      <w:r>
        <w:t>FR: GE_GERICHTE ATA/976/2025 du 9 septembre 2025</w:t>
      </w:r>
    </w:p>
    <w:p>
      <w:r>
        <w:t>IT: GE_GERICHTE ATA/976/2025 del 9 settembre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Il faut encore déterminer s’il conserve un objet et, subsidiairement, si le recourant conserve un intérêt à faire constater l’illicéité de la décision du 22 mai 2025.</w:t>
      </w:r>
    </w:p>
    <w:p>
      <w:r>
        <w:rPr>
          <w:b/>
        </w:rPr>
        <w:t>E. 1.1</w:t>
      </w:r>
    </w:p>
    <w:p>
      <w:r>
        <w:t>La LPA-CH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rPr>
          <w:b/>
        </w:rPr>
        <w:t>E. 1.2</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rPr>
          <w:b/>
        </w:rPr>
        <w:t>E. 1.3</w:t>
      </w:r>
    </w:p>
    <w:p>
      <w:r>
        <w:t>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w:t>
      </w:r>
    </w:p>
    <w:p>
      <w:r>
        <w:t>- 7/11 - A/2203/2025 Il est interdit de maltraiter les animaux, de les négliger ou de les surmener inutilement (art. 16 al. 1 OPAn).</w:t>
      </w:r>
    </w:p>
    <w:p>
      <w:r>
        <w:rPr>
          <w:b/>
        </w:rPr>
        <w:t>E. 1.4</w:t>
      </w:r>
    </w:p>
    <w:p>
      <w:r>
        <w:t>Conformément à l'art. 23 al. 1 LPA-CH,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 L'incapacité objective de détenir des animaux, au sens de l'art. 23 al. 1 let. b LPA-CH, est donnée si l'intéressé n'est pas en mesure de se conformer aux règles générales de comportement requises ou enfreint les interdictions imposées par la LPA (arrêt du Tribunal fédéral 2C_122/2019 du 6 juin 2019 consid. 3.2 et les arrêts cités). L'interdiction de détention d'animaux a pour but de garantir ou de rétablir le bien-être de ces derniers; il s'agit d'une mesure qui ne vise pas à punir le détenteur, mais à protéger les bonnes conditions de détention du point de vue de la loi (cf. arrêt du Tribunal fédéral 2C_378/2012 du 11 janvier 2012 consid. 3.1 et les arrêts cités). Une interdiction de détention suppose en principe une violation crasse de la LPA provoquant des maux à l'animal.</w:t>
      </w:r>
    </w:p>
    <w:p>
      <w:r>
        <w:rPr>
          <w:b/>
        </w:rPr>
        <w:t>E. 1.5</w:t>
      </w:r>
    </w:p>
    <w:p>
      <w:r>
        <w:t>Selon l'art. 24 al. 1 LPA-CH, s'il est constaté que les animaux sont négligés ou que leurs conditions de détention sont totalement inappropriées, l'autorité compétente intervient immédiatement et peut les séquestrer préventivement et leur offrir un gîte approprié si nécessaire, elle fait vendre ou mettre à mort les animaux.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rPr>
          <w:b/>
        </w:rPr>
        <w:t>E. 1.6</w:t>
      </w:r>
    </w:p>
    <w:p>
      <w:r>
        <w:t>À Genève, le SCAV est chargé de l’exécution de la législation sur la protection des animaux (art. 1, 2 let. b et 3 al. 3 du règlement d'application de la loi fédérale sur la protection des animaux du 15 juin 2011 - RaLPA - M 3 50.02).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rPr>
          <w:b/>
        </w:rPr>
        <w:t>E. 1.7</w:t>
      </w:r>
    </w:p>
    <w:p>
      <w:r>
        <w:t>Dans l’exercice de ses compétences, l’autorité administrative doit respecter le principe de la proportionnalité. Exprimé à l’art. 5 al. 2 de la Constitution fédérale de la Confédération suisse du 18 avril 1999 (Cst - RS 101)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w:t>
      </w:r>
    </w:p>
    <w:p>
      <w:r>
        <w:t>- 8/11 - A/2203/2025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(ATA/1094/2020 du 3 novembre 2020 ; ATA/309/2016 du 12 avril 2016).</w:t>
      </w:r>
    </w:p>
    <w:p>
      <w:r>
        <w:rPr>
          <w:b/>
        </w:rPr>
        <w:t>E. 1.8</w:t>
      </w:r>
    </w:p>
    <w:p>
      <w:r>
        <w:t>Selon l’art. 4 al. 1 let. a LPA, sont considérées comme des décisions les mesures individuelles et concrètes prises par l’autorité dans les cas d’espèce fondées sur le droit public fédéral, cantonal ou communal et ayant pour objet de créer, de modifier ou d’annuler des droits ou des obligations. Les décisions doivent être désignées comme telles, motivées et signées, et indiquer les voies et délais de recours (art. 46 al. 1 1re phr. LPA).</w:t>
      </w:r>
    </w:p>
    <w:p>
      <w:r>
        <w:rPr>
          <w:b/>
        </w:rPr>
        <w:t>E. 1.9</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 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1.10</w:t>
      </w:r>
    </w:p>
    <w:p>
      <w:r>
        <w:t>Selon l’art. 21 al. 1 LPA, l’autorité peut d’office ou sur requête ordonner des mesures provisionnelles en exigeant au besoin des sûretés. Contrairement à la décision sur le fond, une décision sur effet suspensif ou mesures provisionnelles n’est revêtue que d’une autorité de la chose jugée limitée et peut être facilement modifiée. La partie concernée peut demander en tout temps, en cas de changement de circonstances, que le prononcé sur mesures provisionnelles soit revu (ATF 139 I 189 consid. 3.5 ; Stéphane GRODECKI/Romain JORDAN, Code annoté de procédure administrative genevoise, 2017, p. 98 n. 362).</w:t>
      </w:r>
    </w:p>
    <w:p>
      <w:r>
        <w:rPr>
          <w:b/>
        </w:rPr>
        <w:t>E. 1.11</w:t>
      </w:r>
    </w:p>
    <w:p>
      <w:r>
        <w:t>Selon l'art. 57 let. c in initio LPA, les décisions incidentes peuvent faire l'objet d'un recours si elles risquent de causer un préjudice irréparable. Selon la même disposition in fine, elles peuvent également faire l'objet d'un tel recours si cela conduirait immédiatement à une solution qui éviterait une procédure probatoire longue et coûteuse.</w:t>
      </w:r>
    </w:p>
    <w:p>
      <w:r>
        <w:rPr>
          <w:b/>
        </w:rPr>
        <w:t>E. 1.12</w:t>
      </w:r>
    </w:p>
    <w:p>
      <w:r>
        <w:t>Selon l’art. 67 LPA, intitulé effet dévolutif du recours,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w:t>
      </w:r>
    </w:p>
    <w:p>
      <w:r>
        <w:t>- 9/11 - A/2203/2025 parties et en donne connaissance à l’autorité de recours (al. 2). L’autorité de recours continue à traiter le recours dans la mesure où la nouvelle décision ne l’a pas rendu sans objet (al. 3).</w:t>
      </w:r>
    </w:p>
    <w:p>
      <w:r>
        <w:rPr>
          <w:b/>
        </w:rPr>
        <w:t>E. 1.13</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Thierry TANQUEREL, Manuel de droit administratif, 2e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w:t>
      </w:r>
    </w:p>
    <w:p>
      <w:r>
        <w:rPr>
          <w:b/>
        </w:rPr>
        <w:t>E. 2</w:t>
      </w:r>
    </w:p>
    <w:p>
      <w:r>
        <w:t>En l’espèce, il n’est pas contesté que D______ est toujours séquestrée et n’a pas été rendue au recourant. L’intimé a, le 22 mai 2025, annulé sa décision au fond du 20 mars 2025, ce qui équivaut à une reconsidération en cours de procédure, telle que prévue par l’art. 67 al. 2 LPA. L’intimé et le recourant ont alors conclu à ce que la cause A/1579/2025 soit rayée du rôle, ce que la chambre de céans a ordonné. Le recourant soutient que son chat aurait alors dû lui être restitué. Il est vrai que, comme il le fait valoir, le séquestre préventif du 19 février 2025 avait cessé de produire ses effets avec le prononcé de la décision définitive du 20 mars 2025, laquelle avait remplacé un séquestre provisoire par un séquestre définitif du chat. Aussi, du 20 mars au 22 mai 2025, le séquestre préventif du félin n’avait en aucun cas pu « demeurer », comme semble le considérer le SCAV dans sa décision du 22 mai 2025. En outre, c’est à juste titre que le recourant souligne que l’annulation de la décision au fond le 22 mai 2025 avait mis un terme au séquestre définitif de D______. Il faut ainsi déterminer si la poursuite du séquestre du chat dès cette date reposait sur une décision. Nonobstant sa formulation impropre, la mention que le séquestre préventif « demeure » ne pouvait être compris que comme le prononcé d’un nouveau séquestre préventif, ce d’autant plus que dans la décision du 22 mai 2025, l’intimé annonçait également reprendre l’instruction en vue d’une nouvelle décision au fond.</w:t>
      </w:r>
    </w:p>
    <w:p>
      <w:r>
        <w:t>- 10/11 - A/2203/2025 La nature de nouvelle décision provisionnelle n’a pas échappé au recourant, qui précise lui-même dans son recours, à propos de son objet, qu’il est dirigé contre « ce qui pourrait être qualifié de nouvelle décision de séquestre préventif ». La poursuite du séquestre du chat reposait ainsi a priori sur une décision. Le recourant conclut à son annulation, subsidiairement au constat de son illicéité. Cependant, le 14 juillet 2025, l’intimé a prononcé une nouvelle décision au fond, dont le dispositif est identique à la décision au fond du 20 mars 2025 mais dont la motivation est plus développée et prend notamment en compte les arguments du recourant, qu’elle discute et écarte pour la plupart. Cette décision au fond met fin à la mesure provisionnelle prononcée le 22 mai 2025, le séquestre définitif du chat au fond ayant remplacé son séquestre préventif. Il suit de là que le recours, en tant qu’il porte sur le séquestre préventif, a perdu son objet, ce qui devrait entraîner son irrecevabilité. Le recourant fait valoir, à juste titre, qu’il dispose d’un intérêt à faire constater le caractère illicite du séquestre préventif dès le 22 mai 2025, ne serait-ce que parce qu’il encourrait les coûts de ce dernier s’il était confirmé. Selon lui, la manière de procéder de l’intimé est contraire au principe de la bonne foi en tant qu’elle vise à le priver de la possibilité de faire vérifier le bien-fondé du séquestre préventif. Le recourant peut toutefois encore à ce jour recourir contre la nouvelle décision au fond du 14 juillet 2025, faire valoir dans ce cadre que le séquestre préventif était infondé à dater du 22 mai 2025 et soulever tous ses griefs. Le recours sera déclaré irrecevable. Compte tenu de l’issue du recours, les conclusions en restitution de l’effet suspensif ont perdu leur objet.</w:t>
      </w:r>
    </w:p>
    <w:p>
      <w:r>
        <w:rPr>
          <w:b/>
        </w:rPr>
        <w:t>E. 3</w:t>
      </w:r>
    </w:p>
    <w:p>
      <w:r>
        <w:t>Vu l'issue du litige, un émolument de CHF 200.-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