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ATA/976/2020 vom 30. September 2020</w:t>
      </w:r>
    </w:p>
    <w:p>
      <w:r>
        <w:t>GE Cour de justice, 2020-09-30, FR</w:t>
      </w:r>
    </w:p>
    <w:p>
      <w:r>
        <w:rPr>
          <w:b/>
        </w:rPr>
        <w:t xml:space="preserve">Quelle: </w:t>
      </w:r>
      <w:r>
        <w:t>https://mcp.opencaselaw.ch/entscheid/ge_gerichte_ATA_976_2020</w:t>
      </w:r>
    </w:p>
    <w:p>
      <w:r>
        <w:t>FR: GE_GERICHTE ATA/976/2020 du 30 septembre 2020</w:t>
      </w:r>
    </w:p>
    <w:p>
      <w:r>
        <w:t>IT: GE_GERICHTE ATA/976/2020 del 30 settembre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Selon l’art. 10 al. 2 de la loi d'application de la loi fédérale sur les étrangers du 16 juin 1988 (LaLEtr - F 2 10), la chambre administrative doit statuer dans un délai de dix jours qui suivent sa saisine. Ayant reçu le recours le 23 septembre 2020 et statuant ce jour, elle respecte ce délai.</w:t>
      </w:r>
    </w:p>
    <w:p>
      <w:r>
        <w:t>En outre, à teneur dudit art. 10 LaLEtr, la chambre administrative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Le litige a pour objet l’étendue territoriale et la durée de l’assignation à résidence prononcée par le commissaire de police et validée par le TAPI, ainsi que la conformité au droit du refus par le TAPI de constater l’illicéité de quatre heures de détention du recourant. 4)</w:t>
      </w:r>
    </w:p>
    <w:p>
      <w:r>
        <w:t>Le recourant sollicite préalablement son audition, celle de son avocate et d’un témoin au sujet des circonstances de la notification de l’assignation à résidence.</w:t>
      </w:r>
    </w:p>
    <w:p>
      <w:r>
        <w:t>a. Le droit d’être entendu, tel qu’il est garanti par l’art. 29 al. 2 de la Constitution fédérale de la Confédération suisse du 18 avril 1999 (Cst. - RS 101),</w:t>
      </w:r>
    </w:p>
    <w:p>
      <w:r>
        <w:t>- 9/15 - A/2663/2020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arrêt du Tribunal fédéral 2D_42/2019 du 25 mars 2020 consid. 3.1). Le droit d’être entendu ne comprend pas le droit d’obtenir l’audition de témoins (ATF 130 II 425 consid. 2.1 ; ATA/1001/2018 du 25 septembre 2018 consid. 2a) et n’implique pas non plus une audition personnelle de l’intéressé, celui-ci devant simplement disposer d’une occasion de se déterminer sur les éléments propres à influer sur l’issue de la cause (ATF 140 I 68 consid. 9.6).</w:t>
      </w:r>
    </w:p>
    <w:p>
      <w:r>
        <w:t>b. En l’espèce, vu l’issue sur litige sur la question de la rétention, il n’y a pas lieu de donner suite à la demande d’auditions. 5)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w:t>
      </w:r>
    </w:p>
    <w:p>
      <w:r>
        <w:t>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w:t>
      </w:r>
    </w:p>
    <w:p>
      <w:r>
        <w:t>- 10/15 - A/2663/2020 protection des biens par la police pour définir le trouble ou la menace de la sécurité et de l'ordre publics.</w:t>
      </w:r>
    </w:p>
    <w:p>
      <w:r>
        <w:t>c.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d. L'art. 74 LEI ne précise ni la durée ni l'étendue de la mesure. Selon le Tribunal fédéral, celle-ci doit dans tous les cas répondre au principe de proportionnalité, soit être adéquate au but visé et rester dans un rapport raisonnable avec celui-ci (ATF 142 II 1 consid. 2.3). Ainsi, la mesure ne peut pas être ordonnée pour une durée indéterminée (arrêts du Tribunal fédéral 2C_197/2013 du 31 juillet 2013 consid. 4.1 ; 2C_1044/2012 du 5 novembre 2012 consid. 3.3). Des durées inférieures à six mois ne sont guère efficaces (arrêt du Tribunal fédéral 2C_197/2013 précité consid. 4.2) ; des mesures d'une durée d'une année (arrêt du Tribunal fédéral 2C_330/2015 du 26 novembre 2015 consid. 3.2 ; ATA/1347/2018 du 13 décembre 2018 consid. 6), voire de deux ans (arrêt du Tribunal fédéral 2C_828/2017 du 14 juin 2018 consid. 4.5) ont été admises.</w:t>
      </w:r>
    </w:p>
    <w:p>
      <w:r>
        <w:t>e.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w:t>
      </w:r>
    </w:p>
    <w:p>
      <w:r>
        <w:t>- 11/15 - A/2663/2020 consid. 3c ; ATA/304/2020 du 20 mars 2020 consid. 4b ; ATA/748/2018 du 18 juillet 2018 consid. 4b).</w:t>
      </w:r>
    </w:p>
    <w:p>
      <w:r>
        <w:t>f.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justifier une telle mesure, de même que la violation grossière des règles tacites de la cohabitation sociale (ATA/607/2013 du 12 septembre 2013 consid. 4 ; ATA/46/2013 du 25 janvier 2013 consid. 3 et les références citées). 6)</w:t>
      </w:r>
    </w:p>
    <w:p>
      <w:r>
        <w:t>En l’espèce, le recourant ne conteste pas ne disposer d’aucune autorisation de séjour en Suisse. Il ne conteste pas avoir été condamné à de multiples reprises, la dernière fois pour un trafic de stupéfiants. Il ne conteste pas avoir été expulsé pénalement de Suisse ni être l’objet d’une interdiction d’entrée. Il s’oppose par contre à l’exécution de son renvoi vers le Nigéria.</w:t>
      </w:r>
    </w:p>
    <w:p>
      <w:r>
        <w:t>a. Il est établi, et il ne paraît pas contesté par le recourant, que ses antécédents pénaux et son absence de ressources peuvent faire craindre qu’il ne trouble ou menace à nouveau la sécurité et l'ordre publics, en particulier en se livrant au trafic illégal de stupéfiants.</w:t>
      </w:r>
    </w:p>
    <w:p>
      <w:r>
        <w:t>Le recourant soutient cependant que l’assignation à une commune pour éviter le contact avec le milieu du trafic de stupéfiants est inefficace vu la diffusion de ce dernier sur l’ensemble du canton, et serait partant disproportionnée, faute d’adéquation.</w:t>
      </w:r>
    </w:p>
    <w:p>
      <w:r>
        <w:t>Cette manière de voir ne saurait être suivie. Si le trafic de stupéfiants est certes répandu, il nécessite une grande mobilité de ses protagonistes, en vue de prendre possession de la marchandise, de la transporter, puis de la livrer, voire de modifier régulièrement les lieux de leurs transactions et prospections sur le domaine public. Aussi n’est-il pas déraisonnable de limiter la liberté de mouvement du recourant à une commune déterminée, cette mesure étant à tout le moins de nature à réduire significativement le risque qu’il trouble à nouveau à l’ordre public.</w:t>
      </w:r>
    </w:p>
    <w:p>
      <w:r>
        <w:t>Le fait que la commune de Vernier ait le statut de ville, par son territoire, sa population et son équipement, permet par ailleurs de conclure que l’assignation n’entraîne pas une limitation excessive des contacts sociaux et de l’accès par le recourant à ses besoins courants.</w:t>
      </w:r>
    </w:p>
    <w:p>
      <w:r>
        <w:t>La décision est assortie d’exceptions pour l’accès aux administrations, aux soins, des sauf-conduits peuvent être délivrés pour d’autres déplacements</w:t>
      </w:r>
    </w:p>
    <w:p>
      <w:r>
        <w:t>- 12/15 - A/2663/2020 nécessaires, et le subside journalier de l’hospice doit pouvoir être remis dans un centre social de la commune de Vernier.</w:t>
      </w:r>
    </w:p>
    <w:p>
      <w:r>
        <w:t>Le recourant objecte encore qu’il pourrait être retrouvé sur l’ensemble du territoire du canton en vue de l’exécution de son renvoi.</w:t>
      </w:r>
    </w:p>
    <w:p>
      <w:r>
        <w:t>Cet argument ne résiste toutefois pas à l’examen, tant il est vrai que la recherche du recourant sur un territoire plus exigu se révélera le moment venu plus efficace et rapide.</w:t>
      </w:r>
    </w:p>
    <w:p>
      <w:r>
        <w:t>Ainsi, sous l’angle du périmètre, l’assignation à résidence n’apparait-elle pas violer le principe de proportionnalité.</w:t>
      </w:r>
    </w:p>
    <w:p>
      <w:r>
        <w:t>Le grief sera écarté.</w:t>
      </w:r>
    </w:p>
    <w:p>
      <w:r>
        <w:t>b. Le recourant soutient encore que la durée de l’assignation serait disproportionnée, dès lors que des vols pourraient bientôt être à nouveau organisés en direction du Nigéria.</w:t>
      </w:r>
    </w:p>
    <w:p>
      <w:r>
        <w:t>L’assignation à résidence constituant une atteinte légère à la liberté personnelle, des durées de un voire deux ans ont déjà été admises par la jurisprudence (arrêts du Tribunal fédéral 2C_330/2015 et 2C_828/2017 précités ; ATA/1347/2018 précité).</w:t>
      </w:r>
    </w:p>
    <w:p>
      <w:r>
        <w:t>Le recourant n’expose pas en quoi et ne soutient d’ailleurs pas que le fait de ne pouvoir, sauf exception justifiée, quitter le périmètre de la commune de Vernier durant douze mois l’affecterait particulièrement.</w:t>
      </w:r>
    </w:p>
    <w:p>
      <w:r>
        <w:t>C’est le lieu de relever que le Tribunal fédéral a considéré qu’une interdiction territoriale prononcée contre un petit trafiquant (condamné à quarante jours-amende avec sursis puis deux mois de détention pour vente de haschisch) ne pouvait en tout cas être efficace en-dessous d’une durée de six mois (arrêt du Tribunal fédéral 2C_197/2013 précité consid. 4.2).</w:t>
      </w:r>
    </w:p>
    <w:p>
      <w:r>
        <w:t>Quant à l’argumentation du recourant relative à la possibilité d’organiser prochainement le rapatriement, elle tombe à faux car la survenance de cet événement mettrait en soi fin à l’assignation territoriale.</w:t>
      </w:r>
    </w:p>
    <w:p>
      <w:r>
        <w:t>La durée de l’assignation n’apparaît ainsi pas disproportionnée.</w:t>
      </w:r>
    </w:p>
    <w:p>
      <w:r>
        <w:t>Le grief sera écarté. 7)</w:t>
      </w:r>
    </w:p>
    <w:p>
      <w:r>
        <w:t>Le recourant se plaint enfin que le TAPI ait refusé de constater le caractère illicite de sa détention, quatre heures durant, le 3 septembre 2020.</w:t>
      </w:r>
    </w:p>
    <w:p>
      <w:r>
        <w:t>Le recourant soutient que sa conduite et son maintien à l’hôtel de police en vue d’y être entendu en présence de son conseil, de se voir annoncer le prononcé</w:t>
      </w:r>
    </w:p>
    <w:p>
      <w:r>
        <w:t>- 13/15 - A/2663/2020 d’une mesure de contrainte, de pouvoir s’exprimer à son sujet puis de se la voir notifier formellement et de pouvoir s’y opposer formellement, constitue une arrestation suivie d’une détention, qui sont illicites.</w:t>
      </w:r>
    </w:p>
    <w:p>
      <w:r>
        <w:t>a. Au chapitre des mesures de contrainte prévues par la LEI (section 5), l’art. 73 dispose, sous la note marginale « rétention », que les autorités compétentes de la Confédération ou des cantons peuvent procéder à la rétention de personnes dépourvues d’autorisation de courte durée, de séjour ou d’établissement afin de leur notifier une décision relative à leur statut de séjour (al. 1 let. a), d’établir leur identité et leur nationalité, pour autant qu’elles aient l’obligation de collaborer à cet effet (al. l let. 2), étant précisé que la rétention dure le temps nécessaire pour garantir la collaboration de la personne concernée ou pour permettre son interrogatoire et, le cas échéant, son transport et ne peut excéder trois jours (al. 2), la personne devant en outre être informée du motif de sa rétention (al. 3 let. a), avoir la possibilité d’entrer en contact avec les personnes chargées de sa surveillance si elle a besoin d’aide (al. 3 let. b), et s’il est probable que la rétention excède vingt-quatre heures, doit avoir la possibilité de régler ou de faire régler au préalable ses affaires personnelles urgentes (al. 4), l’autorité judiciaire compétente contrôle, a posteriori et sur requête, la légalité de la rétention (al. 5), dont la durée n’est pas comptabilisée dans la durée de la détention en vue de l’exécution du renvoi ou de l’expulsion, de la détention en phase préparatoire ou de la détention pour insoumission.</w:t>
      </w:r>
    </w:p>
    <w:p>
      <w:r>
        <w:t>b. En l’espèce, le recourant a fait le 3 septembre 2020 l’objet d’une rétention au sens de l’art. 73 LEI, dont il n’est pas contesté qu’elle a eu pour but le choix, la préparation et la notification de la mesure de contrainte prévue à l’art. 74 LEI.</w:t>
      </w:r>
    </w:p>
    <w:p>
      <w:r>
        <w:t>Il s’est plaint au TAPI de l’illicéité de cette rétention, et il appartenait au TAPI, en sa qualité d’autorité compétente saisie d’une telle requête, d’examiner sa légalité, en application de l’art. 73 al. 5 LEI et de l’art. 7 al. 4 let. f LaLEtr.</w:t>
      </w:r>
    </w:p>
    <w:p>
      <w:r>
        <w:t>C’est ainsi à tort que le TAPI s’est déclaré incompétent, de sorte que le recours sera partiellement admis, le ch. 3 du dispositif de son jugement déclarant la requête de contrôle irrecevable annulé, et la cause lui sera renvoyée pour instruction et nouvelle décision sur ce point.</w:t>
      </w:r>
    </w:p>
    <w:p>
      <w:r>
        <w:t>Pour le surplus, le recours sera rejeté et le jugement querellé confirmé. 8)</w:t>
      </w:r>
    </w:p>
    <w:p>
      <w:r>
        <w:t>Vu la nature de la cause, aucun émolument ne sera perçu (art. 87 al. 1 LPA et art. 12 du règlement sur les frais, émoluments et indemnités en procédure administrative du 30 juillet 1986 - RFPA - E 5 10.03). Une indemnité de procédure de CHF 500.- sera allouée au recourant, qui obtient partiellement gain de cause (art. 87 al. 2 LPA). Le commissaire de police ayant conclu au rejet du recours, l’indemnité sera mise à la charge du département de la sécurité, de l’emploi et de la santé.</w:t>
      </w:r>
    </w:p>
    <w:p>
      <w:r>
        <w:t>- 14/15 - A/2663/2020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