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ATA/973/2016 vom 15. November 2016</w:t>
      </w:r>
    </w:p>
    <w:p>
      <w:r>
        <w:t>GE Cour de justice, 2016-11-15, FR</w:t>
      </w:r>
    </w:p>
    <w:p>
      <w:r>
        <w:rPr>
          <w:b/>
        </w:rPr>
        <w:t xml:space="preserve">Quelle: </w:t>
      </w:r>
      <w:r>
        <w:t>https://mcp.opencaselaw.ch/entscheid/ge_gerichte_ATA_973_2016</w:t>
      </w:r>
    </w:p>
    <w:p>
      <w:r>
        <w:t>FR: GE_GERICHTE ATA/973/2016 du 15 novembre 2016</w:t>
      </w:r>
    </w:p>
    <w:p>
      <w:r>
        <w:t>IT: GE_GERICHTE ATA/973/2016 del 15 novembre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- 4/8 - A/2052/2015</w:t>
      </w:r>
    </w:p>
    <w:p>
      <w:r>
        <w:rPr>
          <w:b/>
        </w:rPr>
        <w:t>E. 2</w:t>
      </w:r>
    </w:p>
    <w:p>
      <w:r>
        <w:t>a. Selon l'art. 739 al. 1 de la loi fédérale complétant le Code civil suisse du 30 mars 1911 (Livre cinquième : Droit des obligations - CO - RS 220), aussi longtemps que la répartition entre actionnaires n'est pas terminée, la société en liquidation garde sa personnalité et conserve sa raison sociale, à laquelle s'ajoutent les mots « en liquidation ».</w:t>
      </w:r>
    </w:p>
    <w:p>
      <w:r>
        <w:t>b. Une société en liquidation garde la jouissance et l'exercice de ses droits (art. 53 du Code civil suisse du 10 décembre 1907 - CC - RS 210), sans restriction, et reste titulaire de tous ses droits de propriété matérielle et immatérielle. Tant que l'inscription n'est pas radiée du RC (art. 746 CO), elle peut introduire des actions judiciaires ou administratives, ou des poursuites, comme elle peut être assignée en justice ou par-devant des autorités administratives, ou encore faire l'objet de poursuites (ATA/373/2016 du 3 mai 2016 consid. 4c ; François RAYROUX, Commentaire romand - Code des obligations II, 2008, n. 5 ad art. 739).</w:t>
      </w:r>
    </w:p>
    <w:p>
      <w:r>
        <w:t>c. A______ AG étant passée en liquidation durant la présente procédure, la nouvelle raison sociale sera simplement substituée à l'ancienne dans le présent arrêt.</w:t>
      </w:r>
    </w:p>
    <w:p>
      <w:r>
        <w:rPr>
          <w:b/>
        </w:rPr>
        <w:t>E. 3</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2C_882/2016 du 22 septembre 2016 consid. 3 ; ATA/1077/2015 du 6 octobre 2015 consid. 2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(ATA/262/2016 du 22 mars 2016 consid. 2b ; ATA/916/2015 précité consid. 2b et la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w:t>
      </w:r>
    </w:p>
    <w:p>
      <w:r>
        <w:t>- 5/8 - A/2052/2015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4</w:t>
      </w:r>
    </w:p>
    <w:p>
      <w:r>
        <w:t>En l’espèce, le délai de paiement imparti à la recourante par pli recommandé du 18 juin 2015 distribué le jour suivant, a été fixé au 18 juillet 2015, ce qui constitue un délai raisonnable, permettant à celle-là de prendre les dispositions nécessaires pour que le montant soit acquitté en temps utile.</w:t>
      </w:r>
    </w:p>
    <w:p>
      <w:r>
        <w:rPr>
          <w:b/>
        </w:rPr>
        <w:t>E. 5</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w:t>
      </w:r>
    </w:p>
    <w:p>
      <w:r>
        <w:t>- 6/8 - A/2052/2015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6</w:t>
      </w:r>
    </w:p>
    <w:p>
      <w:r>
        <w:t>avril 2016 consid. 4b ; ATA/797/2014 du 14 octobre 2014 consid. 5). Plus spécifiquement, s'agissant du paiement d'une avance de frais, la banque est considérée, du point de vue juridique, comme l'auxiliaire du recourant au sens de l'art. 101 CO, de sorte que le recourant répond du comportement de sa banque comme du sien propre (arrêt du Tribunal fédéral 2C_1134/2014 du 14 août 2015 consid. 5.2 et les arrêts cités).</w:t>
      </w:r>
    </w:p>
    <w:p>
      <w:r>
        <w:rPr>
          <w:b/>
        </w:rPr>
        <w:t>E. 7</w:t>
      </w:r>
    </w:p>
    <w:p>
      <w:r>
        <w:t>L’avance de frais au TAPI n'a pas été, d'un point de vue objectif, effectuée dans le délai imparti par cette juridiction.</w:t>
      </w:r>
    </w:p>
    <w:p>
      <w:r>
        <w:t>Le refus par la BCGe du paiement au motif que le destinataire indiqué était « République et canton de Genève » au lieu de « État de Genève » apparaît insolite. Il n'est toutefois pas nécessaire de déterminer s'il s'agit là d'un cas de force majeure, dès lors que la banque émettrice de l'ordre de paiement, qui est selon la jurisprudence précitée l'auxiliaire de la recourante, a commis une erreur de qualification de l'ordre (références de paiement interbancaire correspondant à un paiement bancaire suisse et non à un BVR) suffisante à elle seule pour justifier le refus de l'ordre par la banque destinataire, sans même parler de l'insertion du numéro de référence de paiement dans une rubrique inappropriée.</w:t>
      </w:r>
    </w:p>
    <w:p>
      <w:r>
        <w:t>L'absence de paiement dans le délai était donc imputable à la recourante.</w:t>
      </w:r>
    </w:p>
    <w:p>
      <w:r>
        <w:rPr>
          <w:b/>
        </w:rPr>
        <w:t>E. 8</w:t>
      </w:r>
    </w:p>
    <w:p>
      <w:r>
        <w:t>Dans ces circonstances, l'irrecevabilité prononcée par le TAPI n'était pas contraire au droit.</w:t>
      </w:r>
    </w:p>
    <w:p>
      <w:r>
        <w:t>Mal fondé, le recours sera rejeté.</w:t>
      </w:r>
    </w:p>
    <w:p>
      <w:r>
        <w:rPr>
          <w:b/>
        </w:rPr>
        <w:t>E. 9</w:t>
      </w:r>
    </w:p>
    <w:p>
      <w:r>
        <w:t>Vu l'issue du litige, un émolument de CHF 400.- sera mis à la charge de la recourante, qui succombe (art. 87 al. 1 LPA), et aucune indemnité de procédure ne sera allouée (art. 87 al. 2 LPA).</w:t>
      </w:r>
    </w:p>
    <w:p>
      <w:r>
        <w:t>* * * * *</w:t>
      </w:r>
    </w:p>
    <w:p>
      <w:r>
        <w:t>- 7/8 - A/2052/2015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