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ATA/972/2015 vom 22. September 2015</w:t>
      </w:r>
    </w:p>
    <w:p>
      <w:r>
        <w:t>GE Cour de justice, 2015-09-22, FR</w:t>
      </w:r>
    </w:p>
    <w:p>
      <w:r>
        <w:rPr>
          <w:b/>
        </w:rPr>
        <w:t xml:space="preserve">Quelle: </w:t>
      </w:r>
      <w:r>
        <w:t>https://mcp.opencaselaw.ch/entscheid/ge_gerichte_ATA_972_2015</w:t>
      </w:r>
    </w:p>
    <w:p>
      <w:r>
        <w:t>FR: GE_GERICHTE ATA/972/2015 du 22 septembre 2015</w:t>
      </w:r>
    </w:p>
    <w:p>
      <w:r>
        <w:t>IT: GE_GERICHTE ATA/972/2015 del 22 settembre 2015</w:t>
      </w:r>
    </w:p>
    <w:p>
      <w:pPr>
        <w:pStyle w:val="Heading2"/>
      </w:pPr>
      <w:r>
        <w:t>Erwägungen</w:t>
      </w:r>
    </w:p>
    <w:p>
      <w:r>
        <w:rPr>
          <w:b/>
        </w:rPr>
        <w:t>E. 26</w:t>
      </w:r>
    </w:p>
    <w:p>
      <w:r>
        <w:t>septembre 2010 - LOJ - E 2 05). 2)</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3)</w:t>
      </w:r>
    </w:p>
    <w:p>
      <w:r>
        <w:t>Aux termes de l’art. 67 RCurabilis, la personne détenue a l'obligation de respecter les dispositions dudit règlement, les directives du directeur général de l’office cantonal de la détention (ci-après : l’OCD), du directeur de Curabilis, du personnel pénitentiaire ainsi que les instructions du personnel médico-soignant.</w:t>
      </w:r>
    </w:p>
    <w:p>
      <w:r>
        <w:t>- 6/10 - A/866/2015</w:t>
      </w:r>
    </w:p>
    <w:p>
      <w:r>
        <w:t>Conformément à l’art. 68 RCurabilis, la personne détenue doit observer une attitude correcte à l'égard des différents personnels, des autres personnes détenues et des tiers.</w:t>
      </w:r>
    </w:p>
    <w:p>
      <w:r>
        <w:t>Selon l’art. 69 al. 1 RCurabilis, sont notamment interdits :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ainsi que, d'une façon générale, le fait d'adopter un comportement contraire au but de Curabilis (let. n).</w:t>
      </w:r>
    </w:p>
    <w:p>
      <w:r>
        <w:t>En vertu de l’art. 70 RCurabilis, si une personne détenue enfreint le RCurabilis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Curabilis,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w:t>
      </w:r>
    </w:p>
    <w:p>
      <w:r>
        <w:t>À teneur de l’art. 71 RCurabilis, le directeur de Curabilis est compétent pour prononcer les sanctions (al. 1) ; lorsqu'il existe un cas de récusation au sens de l'art. 15 LPA, le directeur général de l’OCD est compétent (al. 2). 4)</w:t>
      </w:r>
    </w:p>
    <w:p>
      <w:r>
        <w:t>Tout d’abord, conformément à la jurisprudence de la chambre de céans (ATA/953/2014 du 2 décembre 2014) et comme l’admet l’intimé, la décision querellée du 6 novembre 2014, n’ayant pas été rendue par le directeur lui-même comme prescrit par l’art. 71 al. 1 RCurabilis dans sa version alors en vigueur, mais par le responsable de l’exécution des mesures, donc par une autorité incompétente, est nulle, ce qui entraîne l’irrecevabilité du recours en tant qu’il est dirigé contre cette décision.</w:t>
      </w:r>
    </w:p>
    <w:p>
      <w:r>
        <w:t>- 7/10 - A/866/2015 5)</w:t>
      </w:r>
    </w:p>
    <w:p>
      <w:r>
        <w:t>Par ailleurs, les conclusions du recourant tendant à l’allocation d’indemnités pour ce motif comme pour le motif de l’illégalité invoquée de la décision du 24 septembre 2014, outre qu’elles sont tardives pour avoir été formulées nouvellement dans la réplique, après l’acte de recours et donc en tout état de cause hors du délai légal de trente jours (ATA/751/2013 du 12 novembre 2013 consid. 6 ; ATA/581/2007 du 13 novembre 2007) ce même en cas d’admission d’un cas de force majeure, ne sont pas de la compétence de la chambre administrative. En effet, l’indemnisation peut être fondée sur la loi sur la responsabilité de l’État et des communes du 24 février 1989 (LREC - A 2 40) et la constatation par la chambre de céans de l’illicéité d’une sanction disciplinaire n’est pas un prérequis à une action civile (ATA/348/2015 du 14 avril 2015 consid. 3 ; ATA/510/2014 du 1er juillet 2014 consid. 3a).</w:t>
      </w:r>
    </w:p>
    <w:p>
      <w:r>
        <w:t>Partant, ces conclusions sont irrecevables. 6)</w:t>
      </w:r>
    </w:p>
    <w:p>
      <w:r>
        <w:t>Ensuite, l’intéressé indique, dans son acte de recours du 11 mars 2015, ne pas vouloir recourir, mais seulement demander la restitution des délais de recours. 7)</w:t>
      </w:r>
    </w:p>
    <w:p>
      <w:r>
        <w:t>Selon l’art. 62 al. 1 let. a de la loi sur la procédure administrative du 12 septembre 1985 (LPA - E 5 10), loi à laquelle renvoie l’art. 74 al. 2 RCurabilis, le délai de recours est de trente jours s’il s’agit d’une décision finale ou d’une décision en matière de compétence.</w:t>
      </w:r>
    </w:p>
    <w:p>
      <w:r>
        <w:t>Conformément à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Les délais de réclamation - ou d’opposition - et de recours fixés par la loi sont des dispositions impératives de droit public. Ils ne sont, en principe, pas susceptibles d’être prolongés (art. 16 al. 1 1ère phrase LPA), restitués ou suspendus, si ce n’est par le législateur lui-même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n. 1345).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- 8/10 - A/866/2015</w:t>
      </w:r>
    </w:p>
    <w:p>
      <w:r>
        <w:t>Tombent sous la notion de cas de force majeure les événements extraordinaires et imprévisibles qui surviennent en dehors de la sphère d’activité de l’intéressé et qui s’imposent à lui de l’extérieur de façon irrésistible (ATA/171/2014 du 18 mars 2014 consid. 1a ; ATA/820/2013 précité consid. 2 ; ATA/280/2012 du 8 mai 2012 consid. 4b).</w:t>
      </w:r>
    </w:p>
    <w:p>
      <w:r>
        <w:t>Pour établir l’existence d’un cas de force majeure, le fardeau de la preuve incombe à l’intéressé (ATA/212/2014 précité consid. 5b ; ATA/744/2012 précité consid. 7 et les références citées). 8)</w:t>
      </w:r>
    </w:p>
    <w:p>
      <w:r>
        <w:t>En l’espèce, une restitution de délais, prévue par l’art. 16 al. 3 LPA, ne peut pas entrer en considération, ne pouvant porter que sur un délai imparti par l’autorité, alors qu’il s’agit en l’occurrence d’un délai prescrit par la loi.</w:t>
      </w:r>
    </w:p>
    <w:p>
      <w:r>
        <w:t>Cela étant, afin d’éviter tout formalisme excessif, l’acte de M. A______ daté du 11 mars 2015 sera considéré comme un recours, et l’on peut comprendre de cette écriture que l’intéressé y conclut implicitement à la mise à néant des décisions prononcées contre lui les 24 septembre et 6 novembre 2014.</w:t>
      </w:r>
    </w:p>
    <w:p>
      <w:r>
        <w:t>La demande de restitution de délais du recourant sera traitée comme l’invocation d’un cas de force majeure au sens de l’art. 16 al. 1 2ème phr. LPA.</w:t>
      </w:r>
    </w:p>
    <w:p>
      <w:r>
        <w:t>Cela étant, la question de savoir si les conditions posées à la reconnaissance d’un tel cas sont ou non remplies et, partant, la question de savoir si le recours est ou non tardif et irrecevable demeureront indécises, pour les motifs de fond qui suivent. 9)</w:t>
      </w:r>
    </w:p>
    <w:p>
      <w:r>
        <w:t>Au fond, le recourant a reconnu avoir, le 17 septembre 2014, proféré contre un gardien l’insulte qui a conduit le directeur de l’établissement à prononcer la sanction de trois jours d’arrêts disciplinaires, « sans sursis ». Sa justification, reposant sur la prétendue nécessité de l’insulte afin qu’il soit remarqué de la direction et ait accès à la justice, ne saurait en aucun cas être admise.</w:t>
      </w:r>
    </w:p>
    <w:p>
      <w:r>
        <w:t>En outre, le recourant ne conteste pas avoir prononcé des menaces de mort contre un agent de détention devant une infirmière, mais tente de se réfugier derrière le secret médical.</w:t>
      </w:r>
    </w:p>
    <w:p>
      <w:r>
        <w:t>Quoi qu’il en soit, même si seule l’insulte susmentionnée est retenue, la sanction querellée respecte le principe de proportionnalité, dans la mesure où le comportement du recourant a troublé l'ordre de la prison et contrevenu aux règles de la discipline carcérale de manière non négligeable, en violation notamment de l’art. 68 RCurabilis et des let. b, c et n de l’art. 69 al. 1 RCurabilis appliqués ensemble, ce à quoi s’ajoute l’absence de regrets et de remise en question de l’intéressé. La faute de celui-ci n’est pas négligeable et rien ne permet de penser que son état psychique au moment des faits reprochés l’ait empêché d’agir avec conscience et volonté.</w:t>
      </w:r>
    </w:p>
    <w:p>
      <w:r>
        <w:t>- 9/10 - A/866/2015 10) C’est enfin en vain que le recourant fait valoir que le directeur aurait dû se récuser avant de prononcer sa décision du 24 septembre 2014.</w:t>
      </w:r>
    </w:p>
    <w:p>
      <w:r>
        <w:t>En effet, il n’est nullement établi que celui-ci aurait traité l’intéressé plus défavorablement que les autres détenus ou aurait adopté un comportement de nature à faire suspecter sa partialité, au sens de l’art. 15 al. 1 let. d LPA. 11) En définitive, le recours, en tant qu’il est dirigé contre la décision du 24 septembre 2014, est infondé et doit être rejeté, dans la mesure où il est recevable. 12) Vu la nature du litige et son issue, aucun émolument ne sera perçu (art. 87 al. 1 LPA ; art. 12 al. 1 du règlement sur les frais, émoluments et indemnités en procédure administrative du 30 juillet 1986 - RFPA - E 5 10.03), ni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