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ATA/96/2013 vom 19. Februar 2013</w:t>
      </w:r>
    </w:p>
    <w:p>
      <w:r>
        <w:t>GE Cour de justice, 2013-02-19, FR</w:t>
      </w:r>
    </w:p>
    <w:p>
      <w:r>
        <w:rPr>
          <w:b/>
        </w:rPr>
        <w:t xml:space="preserve">Quelle: </w:t>
      </w:r>
      <w:r>
        <w:t>https://mcp.opencaselaw.ch/entscheid/ge_gerichte_ATA_96_2013</w:t>
      </w:r>
    </w:p>
    <w:p>
      <w:r>
        <w:t>FR: GE_GERICHTE ATA/96/2013 du 19 février 2013</w:t>
      </w:r>
    </w:p>
    <w:p>
      <w:r>
        <w:t>IT: GE_GERICHTE ATA/96/2013 del 19 febbraio 2013</w:t>
      </w:r>
    </w:p>
    <w:p>
      <w:pPr>
        <w:pStyle w:val="Heading2"/>
      </w:pPr>
      <w:r>
        <w:t>Erwägungen</w:t>
      </w:r>
    </w:p>
    <w:p>
      <w:r>
        <w:rPr>
          <w:b/>
        </w:rPr>
        <w:t>E. 12</w:t>
      </w:r>
    </w:p>
    <w:p>
      <w:r>
        <w:t>septembre 1985 - LPA - E 5 10). 2)</w:t>
      </w:r>
    </w:p>
    <w:p>
      <w:r>
        <w:t>Sont applicables à l’exercice fiscal 2009, les dispositions de la LIFD pour la détermination de l’IFD des personnes morales et celles de la LIPM pour celle de l’ICC. 3)</w:t>
      </w:r>
    </w:p>
    <w:p>
      <w:r>
        <w:t>Le litige porte sur le bien-fondé de la reprise de CHF 5’850.- sur le bénéfice 2009 de la recourante au titre d’intérêts insuffisants sur l’avance faite à l’actionnaire de la contribuable. 4) a. L’art. 57 LIFD prévoit qu’en matière d’IFD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- 8/12 - A/293/2011</w:t>
      </w:r>
    </w:p>
    <w:p>
      <w:r>
        <w:t>b. Concernant l’ICC, suivant les art. 24 al. 1 de la loi fédérale sur l’harmonisation des impôts directs des cantons et des communes du 14 décembre 1990 (LHID - RS 642.14), les art. 11 et 12 LIPM énoncent des règles similaires aux dispositions fédérales précitées, l’art. 12 let. a et h LIPM prévoyant qu’est considéré comme bénéfice net imposable le bénéfice net, tel qu’il résulte du compte de pertes et profits, auquel s’ajoutent les allocations volontaires à des tiers et les prestations de toute nature fournies gratuitement à des tiers ou à des actionnaires de la société. L’art. 12 let. h LIPM est conforme à l’art. 58 al. 1 let. b LIFD, quand bien même il est rédigé différemment (ATA/633/2011 du 11 octobre 2011 ; ATA/152/2011 du 8 mars 2011).</w:t>
      </w:r>
    </w:p>
    <w:p>
      <w:r>
        <w:t>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 StHG, 2ème éd., n. 74 ad. art. 24 p. 406), soit des prélèvements qui ne sont pas conformes au droit commercial et qui doivent donc être réintégrés au bénéfice imposable. 5)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et les références citées ; ATA/25/2013 du</w:t>
      </w:r>
    </w:p>
    <w:p>
      <w:r>
        <w:rPr>
          <w:b/>
        </w:rPr>
        <w:t>E. 15</w:t>
      </w:r>
    </w:p>
    <w:p>
      <w:r>
        <w:t>janvier 2013 ; ATA/633/2011 précité ; X. OBERSON, Droit fiscal suisse, 4ème éd., Bâle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2C_275/2010 du 24 août 2010 ; 2A.355/2004 du 20 juin 2005).</w:t>
      </w:r>
    </w:p>
    <w:p>
      <w:r>
        <w:t>c. Les prestations appréciables en argent peuvent apparaître de diverses façons, notamment, au niveau du compte de résultats, par l’accroissement injustifié de</w:t>
      </w:r>
    </w:p>
    <w:p>
      <w:r>
        <w:t>- 9/12 - A/293/2011 frais généraux mais aussi par une comptabilisation insuffisante d’un produit. Cette dernière hypothèse est notamment réalisée lorsque la société n’exige pas une contre-prestation appropriée pour un service rendu à l’actionnaire (X. OBERSON, op. cit., p. 236 n. 42). 6)</w:t>
      </w:r>
    </w:p>
    <w:p>
      <w:r>
        <w:t>Le droit fiscal ne connaît pas de régime spécial pour les groupes de sociétés, sauf disposition légale expresse. Les rapports juridiques entre les sociétés d’un groupe doivent subir le même sort que s’ils avaient été scellés avec des tiers extérieurs à celui-ci (ATF 119 Ib 116 consid 2 ; Arrêt du Tribunal fédéral 2A.355/2004 précité). 7)</w:t>
      </w:r>
    </w:p>
    <w:p>
      <w:r>
        <w:t>Pour le calcul des prestations appréciables en argent, l’AFC-CH détermine chaque année dans une lettre circulaire le taux d’intérêt applicable aux avances faites par la personne morale aux actionnaires ou associés et celui de celles faites par ses actionnaires ou associés à la personne morale. 8)</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précité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C’est donc à la lumière de ces principes que doivent être appréciées les règles contenues dans les directives précitées (ATA/69/2012 du 31 janvier 2012). 9)</w:t>
      </w:r>
    </w:p>
    <w:p>
      <w:r>
        <w:t>Dans sa circulaire, l’AFC-CH a rappelé que « lorsqu’une société accorde des avances ou des prêts sans intérêt ou contre un intérêt insuffisant à ses actionnaires ou associés, ou à des personnes qui leur sont proches, elle leur concède une prestation appréciable en argent ». Dans un tel cas, un taux d’intérêt de 2,5 % doit être appliqué si l’avance est financée au moyen des fonds propres de la société et, condition cumulative, si aucun intérêt n’est dû sur du capital étranger. En revanche, dès que l’avance est financée au moyen de capitaux étrangers, le taux d’intérêt applicable pour les avances est celui que la société se</w:t>
      </w:r>
    </w:p>
    <w:p>
      <w:r>
        <w:t>- 10/12 - A/293/2011 voit appliqué en contrepartie de la mise à disposition desdits capitaux plus 0,25 % pour les avances allant jusqu’à CHF 10’000’000.- et 0,5 % au-delà, mais d’au moins 2,5 %. 10) Le fait que le prêt consenti à l’actionnaire porte intérêt à un taux inférieur à celui fixé par l’AFC-GE constitue un indice de l’existence d’une distribution de dividende dissimulée pouvant être reprise en vertu de l’art. 58 al. 1 let. c LIFD (R. DANON in D. YERSIN / Y. NOËL, Impôt fédéral direct, Commentaire de la loi sur l’impôt fédéral direct, 2008, ad art. 58 LIFD, p. 759 n. 155). S’il a pratiqué un taux d’intérêt inférieur, il lui est loisible de prouver que celui-ci correspond à celui du marché. 11) En l’occurrence, selon ce que révèlent les états financiers 2009 de la recourante, ses fonds propres s’établissaient à CHF 4’527’510.- et ses fonds étrangers à CHF 2’011’970.- au 31 décembre 2009. Sur ce dernier poste du bilan, CHF 1’450’000.- représentaient des dettes hypothécaires vis-à-vis de tiers, pour lesquelles la société s’est acquittée en 2009 d’un montant de CHF 57’802.- d’intérêts. Au regard des critères retenus dans la circulaire, la recourante se trouvait en raison de cet emprunt dans la situation d’une société financée par des capitaux extérieurs, si bien qu’elle ne pouvait plus sur le plan fiscal appliquer au rendement de l’avance consentie à son actionnaire le taux d’intérêt de 2,5 % applicable aux prestations appréciables en argent consenties par des sociétés sans financement extérieur.</w:t>
      </w:r>
    </w:p>
    <w:p>
      <w:r>
        <w:t>Selon la recourante, la circulaire devrait être interprétée de manière large, le taux d’intérêt spécial n’ayant pas à être appliqué même s’il existe un financement étranger lorsque la société présente une situation saine, dispose de fonds propres importants lui permettant de mettre des fonds à disposition de son actionnaire et que les engagements vis-à-vis de tiers inscrits concernent les actifs immobilisés qu’elle détient. Cette interprétation de la lettre circulaire n’est pas conforme à son texte et ne correspond pas au but poursuivi tant par les art. 57 et 58 LIFD, 11 et 12 LIPM, qui visent à définir de quelle façon et dans quelle ampleur doit être taxé le bénéfice de la personne morale, soit le résultat généré par son activité. (P.-M. GLAUSER, Apports et impôt sur le bénéfice, le principe de déterminance dans le contexte des apports et autres contributions de tiers, Zurich, 2005, p. 65).</w:t>
      </w:r>
    </w:p>
    <w:p>
      <w:r>
        <w:t>La question du volume de fonds propres dont dispose une personne morale, ou celle de son éventuelle sous-capitalisation, n’a pas à être prise en considération pour déterminer si une prestation qu’elle a consentie à son actionnaire a reçu une contrepartie correspondant à l’usage commercial. Selon la circulaire, une société qui ne recourt pas à un financement extérieur peut pratiquer le taux d’intérêt de 2,5% préconisé par l’AFC-GE. Celui-ci constitue un taux d’intérêt moyen fixé forfaitairement sur la base d’un examen général du marché et tenant compte de l’ensemble des circonstances qui peuvent influencer sa détermination (Arrêt du Tribunal fédéral 2A.16/2006 du 23 juin 2006 consid. 3). En revanche, dès qu’une</w:t>
      </w:r>
    </w:p>
    <w:p>
      <w:r>
        <w:t>- 11/12 - A/293/2011 société est financée à l’aide de fonds de tiers pour lesquels elle s’acquitte d’un intérêt qu’elle comptabilise dans ses charges, elle doit appliquer aux fonds qu’elle choisit de mettre à disposition de son actionnaire un taux d’intérêt calculé en fonction de celui augmenté prévu par la lettre circulaire. Si l’AFC-GE constate que le produit comptabilisé à titre d’intérêt payé pour cette avance ne respecte pas cette exigence, elle est en droit d’effectuer une reprise sur ce poste comptable en vertu des art. 58 al. 1 let. b LIFD dans le calcul de l’IFD et 12 al. 1 let. h LIPM dans celui de l’ICC. 12) En l’espèce, la recourante, qui a pris l’option d’emprunter des fonds pour financer ses immeubles, se devait d’appliquer un taux d’intérêt d’un quart de point supérieur au taux d’intérêt moyen pratiqué sur ses propres charges conformément à la lettre circulaire. Celui-ci correspondant au taux d’intérêt moyen de 3,441 % retenu par l’AFC-GE, qu’elle ne conteste pas, c’est un taux d’intérêt de 3,941 % qui doit être appliqué au montant moyen des avances à l’actionnaire consenties au 31 décembre 2008 et au 31 décembre 2009. La recourante ne remettant pas en question le montant moyen de celles-ci retenu par l’AFC-GE, soit CHF 591’743.-, l’intérêt qui doit être pris en considération pour la taxation s’élève à CHF 23’321.-, ce qui conduit à une reprise de CHF 5’850.- (CHF 23’321.- moins CHF 17’471.-). 13) Le recours sera rejeté. 14) Un émolument de CHF 1’000.- sera mis à la charge de la recourante.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